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jc w:val="center"/>
        <w:rPr>
          <w:rFonts w:ascii="方正小标宋简体" w:hAnsi="宋体" w:eastAsia="方正小标宋简体" w:cs="宋体"/>
          <w:sz w:val="44"/>
          <w:szCs w:val="44"/>
        </w:rPr>
      </w:pPr>
    </w:p>
    <w:p>
      <w:pPr>
        <w:jc w:val="center"/>
        <w:rPr>
          <w:rFonts w:ascii="方正小标宋简体" w:hAnsi="宋体" w:eastAsia="方正小标宋简体" w:cs="宋体"/>
          <w:sz w:val="44"/>
          <w:szCs w:val="44"/>
        </w:rPr>
      </w:pPr>
      <w:r>
        <w:rPr>
          <w:rFonts w:hint="eastAsia" w:ascii="方正小标宋简体" w:hAnsi="宋体" w:eastAsia="方正小标宋简体" w:cs="宋体"/>
          <w:sz w:val="44"/>
          <w:szCs w:val="44"/>
        </w:rPr>
        <w:t>汕头市</w:t>
      </w:r>
      <w:r>
        <w:rPr>
          <w:rFonts w:ascii="方正小标宋简体" w:hAnsi="宋体" w:eastAsia="方正小标宋简体" w:cs="宋体"/>
          <w:sz w:val="44"/>
          <w:szCs w:val="44"/>
        </w:rPr>
        <w:t>地方标准《</w:t>
      </w:r>
      <w:r>
        <w:rPr>
          <w:rFonts w:hint="eastAsia" w:ascii="方正小标宋简体" w:hAnsi="宋体" w:eastAsia="方正小标宋简体" w:cs="宋体"/>
          <w:sz w:val="44"/>
          <w:szCs w:val="44"/>
        </w:rPr>
        <w:t>地理标志产品 达濠鱼丸</w:t>
      </w:r>
      <w:r>
        <w:rPr>
          <w:rFonts w:ascii="方正小标宋简体" w:hAnsi="宋体" w:eastAsia="方正小标宋简体" w:cs="宋体"/>
          <w:sz w:val="44"/>
          <w:szCs w:val="44"/>
        </w:rPr>
        <w:t>》</w:t>
      </w:r>
    </w:p>
    <w:p>
      <w:pPr>
        <w:jc w:val="center"/>
        <w:rPr>
          <w:rFonts w:ascii="Times New Roman" w:hAnsi="Times New Roman" w:eastAsia="方正小标宋简体"/>
          <w:sz w:val="44"/>
          <w:szCs w:val="44"/>
        </w:rPr>
      </w:pPr>
      <w:r>
        <w:rPr>
          <w:rFonts w:ascii="方正小标宋简体" w:hAnsi="宋体" w:eastAsia="方正小标宋简体" w:cs="宋体"/>
          <w:sz w:val="44"/>
          <w:szCs w:val="44"/>
        </w:rPr>
        <w:t>编制说明</w:t>
      </w:r>
    </w:p>
    <w:p>
      <w:pPr>
        <w:snapToGrid w:val="0"/>
        <w:spacing w:before="156" w:beforeLines="50" w:after="156" w:afterLines="50" w:line="336" w:lineRule="auto"/>
        <w:rPr>
          <w:rFonts w:ascii="黑体" w:hAnsi="黑体" w:eastAsia="黑体"/>
          <w:sz w:val="32"/>
          <w:szCs w:val="32"/>
        </w:rPr>
      </w:pPr>
    </w:p>
    <w:p>
      <w:pPr>
        <w:snapToGrid w:val="0"/>
        <w:spacing w:before="156" w:beforeLines="50" w:after="156" w:afterLines="50" w:line="336" w:lineRule="auto"/>
        <w:rPr>
          <w:rFonts w:ascii="黑体" w:hAnsi="黑体" w:eastAsia="黑体"/>
          <w:sz w:val="32"/>
          <w:szCs w:val="32"/>
        </w:rPr>
      </w:pPr>
      <w:r>
        <w:rPr>
          <w:rFonts w:hint="eastAsia" w:ascii="黑体" w:hAnsi="黑体" w:eastAsia="黑体"/>
          <w:sz w:val="32"/>
          <w:szCs w:val="32"/>
          <w:lang w:val="en-US" w:eastAsia="zh-CN"/>
        </w:rPr>
        <w:t xml:space="preserve">    </w:t>
      </w:r>
      <w:r>
        <w:rPr>
          <w:rFonts w:ascii="黑体" w:hAnsi="黑体" w:eastAsia="黑体"/>
          <w:sz w:val="32"/>
          <w:szCs w:val="32"/>
        </w:rPr>
        <w:t>一、</w:t>
      </w:r>
      <w:r>
        <w:rPr>
          <w:rFonts w:hint="eastAsia" w:ascii="黑体" w:hAnsi="黑体" w:eastAsia="黑体"/>
          <w:sz w:val="32"/>
          <w:szCs w:val="32"/>
        </w:rPr>
        <w:t>项目背景、目的和意义</w:t>
      </w:r>
    </w:p>
    <w:p>
      <w:pPr>
        <w:snapToGrid w:val="0"/>
        <w:spacing w:line="336" w:lineRule="auto"/>
        <w:ind w:firstLine="640" w:firstLineChars="200"/>
        <w:rPr>
          <w:rFonts w:ascii="仿宋" w:hAnsi="仿宋" w:eastAsia="仿宋"/>
          <w:sz w:val="32"/>
          <w:szCs w:val="32"/>
        </w:rPr>
      </w:pPr>
      <w:r>
        <w:rPr>
          <w:rFonts w:hint="eastAsia" w:ascii="仿宋" w:hAnsi="仿宋" w:eastAsia="仿宋"/>
          <w:sz w:val="32"/>
          <w:szCs w:val="32"/>
        </w:rPr>
        <w:t>达濠鱼丸历史悠久、蜚声海内外，民间相传最早创制于南宋时期，至清康乾年间就已扬名海内外，是正宗潮菜不可或缺之佳品，被评选为广东省食品文化遗产，其制作技艺被列入广东省和汕头市非物质文化遗产保护项目名录。</w:t>
      </w:r>
    </w:p>
    <w:p>
      <w:pPr>
        <w:snapToGrid w:val="0"/>
        <w:spacing w:line="336" w:lineRule="auto"/>
        <w:ind w:firstLine="640" w:firstLineChars="200"/>
        <w:rPr>
          <w:rFonts w:ascii="仿宋" w:hAnsi="仿宋" w:eastAsia="仿宋"/>
          <w:sz w:val="32"/>
          <w:szCs w:val="32"/>
        </w:rPr>
      </w:pPr>
      <w:r>
        <w:rPr>
          <w:rFonts w:hint="eastAsia" w:ascii="仿宋" w:hAnsi="仿宋" w:eastAsia="仿宋"/>
          <w:sz w:val="32"/>
          <w:szCs w:val="32"/>
        </w:rPr>
        <w:t>目前濠江区有鱼丸生产、加工企业40多家，经营单位200多家。达濠鱼丸销往多个省市，出口港澳地区和东南亚，欧美等多个国家。多家单位已获“广东老字号”、“广东岭南特色食品”、“省级非物质文化遗产”称号，50多个产品被评为中华名小吃、广东名小吃、汕头名小吃。</w:t>
      </w:r>
    </w:p>
    <w:p>
      <w:pPr>
        <w:snapToGrid w:val="0"/>
        <w:spacing w:line="336" w:lineRule="auto"/>
        <w:ind w:firstLine="640" w:firstLineChars="200"/>
        <w:rPr>
          <w:rFonts w:ascii="仿宋" w:hAnsi="仿宋" w:eastAsia="仿宋"/>
          <w:sz w:val="32"/>
          <w:szCs w:val="32"/>
        </w:rPr>
      </w:pPr>
      <w:r>
        <w:rPr>
          <w:rFonts w:hint="eastAsia" w:ascii="仿宋" w:hAnsi="仿宋" w:eastAsia="仿宋"/>
          <w:sz w:val="32"/>
          <w:szCs w:val="32"/>
        </w:rPr>
        <w:t>近年来，汕头市濠江区人民政府高度重视达濠鱼丸产业的保护发展工作，积极打造区域品牌。2018年3月8日，国家质量监督检验检疫总局以2018年第31号公告批准对达濠鱼丸实施国家地理标志产品保护，并明确了其质量技术要求。</w:t>
      </w:r>
    </w:p>
    <w:p>
      <w:pPr>
        <w:snapToGrid w:val="0"/>
        <w:spacing w:line="336" w:lineRule="auto"/>
        <w:ind w:firstLine="640" w:firstLineChars="200"/>
        <w:rPr>
          <w:rFonts w:ascii="仿宋" w:hAnsi="仿宋" w:eastAsia="仿宋"/>
          <w:color w:val="FF0000"/>
          <w:sz w:val="32"/>
          <w:szCs w:val="32"/>
        </w:rPr>
      </w:pPr>
      <w:r>
        <w:rPr>
          <w:rFonts w:hint="eastAsia" w:ascii="仿宋" w:hAnsi="仿宋" w:eastAsia="仿宋"/>
          <w:sz w:val="32"/>
          <w:szCs w:val="32"/>
        </w:rPr>
        <w:t>制定《地理标志产品 达濠鱼丸》地方标准是为了更好地对地理标志产品的保护传承，不断增强“达濠鱼丸”在粤东地区乃至国内外的知名度和美誉度，对实现产业品牌化、规模化，提升经济效益，促进特色产业高质量发展，助力乡村振兴具有重大的意义。</w:t>
      </w:r>
    </w:p>
    <w:p>
      <w:pPr>
        <w:snapToGrid w:val="0"/>
        <w:spacing w:before="156" w:beforeLines="50" w:after="156" w:afterLines="50" w:line="336" w:lineRule="auto"/>
        <w:rPr>
          <w:rFonts w:ascii="黑体" w:hAnsi="黑体" w:eastAsia="黑体"/>
          <w:sz w:val="32"/>
          <w:szCs w:val="32"/>
        </w:rPr>
      </w:pPr>
      <w:r>
        <w:rPr>
          <w:rFonts w:hint="eastAsia" w:ascii="黑体" w:hAnsi="黑体" w:eastAsia="黑体"/>
          <w:sz w:val="32"/>
          <w:szCs w:val="32"/>
          <w:lang w:val="en-US" w:eastAsia="zh-CN"/>
        </w:rPr>
        <w:t xml:space="preserve">    </w:t>
      </w:r>
      <w:r>
        <w:rPr>
          <w:rFonts w:ascii="黑体" w:hAnsi="黑体" w:eastAsia="黑体"/>
          <w:sz w:val="32"/>
          <w:szCs w:val="32"/>
        </w:rPr>
        <w:t>二、</w:t>
      </w:r>
      <w:r>
        <w:rPr>
          <w:rFonts w:hint="eastAsia" w:ascii="黑体" w:hAnsi="黑体" w:eastAsia="黑体"/>
          <w:sz w:val="32"/>
          <w:szCs w:val="32"/>
        </w:rPr>
        <w:t>工作情况介绍</w:t>
      </w:r>
    </w:p>
    <w:p>
      <w:pPr>
        <w:snapToGrid w:val="0"/>
        <w:spacing w:line="336" w:lineRule="auto"/>
        <w:ind w:firstLine="640" w:firstLineChars="200"/>
        <w:rPr>
          <w:rFonts w:ascii="仿宋" w:hAnsi="仿宋" w:eastAsia="仿宋"/>
          <w:sz w:val="32"/>
          <w:szCs w:val="32"/>
        </w:rPr>
      </w:pPr>
      <w:r>
        <w:rPr>
          <w:rFonts w:ascii="仿宋" w:hAnsi="仿宋" w:eastAsia="仿宋"/>
          <w:sz w:val="32"/>
          <w:szCs w:val="32"/>
        </w:rPr>
        <w:t>202</w:t>
      </w:r>
      <w:r>
        <w:rPr>
          <w:rFonts w:hint="eastAsia" w:ascii="仿宋" w:hAnsi="仿宋" w:eastAsia="仿宋"/>
          <w:sz w:val="32"/>
          <w:szCs w:val="32"/>
        </w:rPr>
        <w:t>2</w:t>
      </w:r>
      <w:r>
        <w:rPr>
          <w:rFonts w:ascii="仿宋" w:hAnsi="仿宋" w:eastAsia="仿宋"/>
          <w:sz w:val="32"/>
          <w:szCs w:val="32"/>
        </w:rPr>
        <w:t>年</w:t>
      </w:r>
      <w:r>
        <w:rPr>
          <w:rFonts w:hint="eastAsia" w:ascii="仿宋" w:hAnsi="仿宋" w:eastAsia="仿宋"/>
          <w:sz w:val="32"/>
          <w:szCs w:val="32"/>
        </w:rPr>
        <w:t>1月，汕头市市场监督管理局发布《关于下达汕头市2022年地方标准制修订项目计划（第一批）的通知》，《</w:t>
      </w:r>
      <w:r>
        <w:rPr>
          <w:rFonts w:ascii="仿宋" w:hAnsi="仿宋" w:eastAsia="仿宋"/>
          <w:sz w:val="32"/>
          <w:szCs w:val="32"/>
        </w:rPr>
        <w:t>地理标志产品 达濠鱼丸</w:t>
      </w:r>
      <w:r>
        <w:rPr>
          <w:rFonts w:hint="eastAsia" w:ascii="仿宋" w:hAnsi="仿宋" w:eastAsia="仿宋"/>
          <w:sz w:val="32"/>
          <w:szCs w:val="32"/>
        </w:rPr>
        <w:t>》获批立项。其中，</w:t>
      </w:r>
      <w:r>
        <w:rPr>
          <w:rFonts w:ascii="仿宋" w:hAnsi="仿宋" w:eastAsia="仿宋"/>
          <w:sz w:val="32"/>
          <w:szCs w:val="32"/>
        </w:rPr>
        <w:t>汕头市濠江区鱼丸与餐饮协会</w:t>
      </w:r>
      <w:r>
        <w:rPr>
          <w:rFonts w:hint="eastAsia" w:ascii="仿宋" w:hAnsi="仿宋" w:eastAsia="仿宋"/>
          <w:sz w:val="32"/>
          <w:szCs w:val="32"/>
        </w:rPr>
        <w:t>为主导起草单位，</w:t>
      </w:r>
      <w:r>
        <w:rPr>
          <w:rFonts w:ascii="仿宋" w:hAnsi="仿宋" w:eastAsia="仿宋"/>
          <w:sz w:val="32"/>
          <w:szCs w:val="32"/>
        </w:rPr>
        <w:t>行业主管单位</w:t>
      </w:r>
      <w:r>
        <w:rPr>
          <w:rFonts w:hint="eastAsia" w:ascii="仿宋" w:hAnsi="仿宋" w:eastAsia="仿宋"/>
          <w:sz w:val="32"/>
          <w:szCs w:val="32"/>
        </w:rPr>
        <w:t>是</w:t>
      </w:r>
      <w:r>
        <w:rPr>
          <w:rFonts w:ascii="仿宋" w:hAnsi="仿宋" w:eastAsia="仿宋"/>
          <w:sz w:val="32"/>
          <w:szCs w:val="32"/>
        </w:rPr>
        <w:t>汕头市工业和信息化局</w:t>
      </w:r>
      <w:r>
        <w:rPr>
          <w:rFonts w:hint="eastAsia" w:ascii="仿宋" w:hAnsi="仿宋" w:eastAsia="仿宋"/>
          <w:sz w:val="32"/>
          <w:szCs w:val="32"/>
        </w:rPr>
        <w:t>。项目完成时限至</w:t>
      </w:r>
      <w:r>
        <w:rPr>
          <w:rFonts w:ascii="仿宋" w:hAnsi="仿宋" w:eastAsia="仿宋"/>
          <w:sz w:val="32"/>
          <w:szCs w:val="32"/>
        </w:rPr>
        <w:t>2023年10月</w:t>
      </w:r>
      <w:r>
        <w:rPr>
          <w:rFonts w:hint="eastAsia" w:ascii="仿宋" w:hAnsi="仿宋" w:eastAsia="仿宋"/>
          <w:sz w:val="32"/>
          <w:szCs w:val="32"/>
        </w:rPr>
        <w:t>。</w:t>
      </w:r>
    </w:p>
    <w:p>
      <w:pPr>
        <w:snapToGrid w:val="0"/>
        <w:spacing w:line="336" w:lineRule="auto"/>
        <w:ind w:firstLine="640" w:firstLineChars="200"/>
        <w:rPr>
          <w:rFonts w:ascii="仿宋" w:hAnsi="仿宋" w:eastAsia="仿宋"/>
          <w:sz w:val="32"/>
          <w:szCs w:val="32"/>
        </w:rPr>
      </w:pPr>
      <w:r>
        <w:rPr>
          <w:rFonts w:hint="eastAsia" w:ascii="仿宋" w:hAnsi="仿宋" w:eastAsia="仿宋"/>
          <w:sz w:val="32"/>
          <w:szCs w:val="32"/>
        </w:rPr>
        <w:t>自标准获批立项后，</w:t>
      </w:r>
      <w:r>
        <w:rPr>
          <w:rFonts w:ascii="仿宋" w:hAnsi="仿宋" w:eastAsia="仿宋"/>
          <w:sz w:val="32"/>
          <w:szCs w:val="32"/>
        </w:rPr>
        <w:t>汕头市濠江区鱼丸与餐饮协会</w:t>
      </w:r>
      <w:r>
        <w:rPr>
          <w:rFonts w:hint="eastAsia" w:ascii="仿宋" w:hAnsi="仿宋" w:eastAsia="仿宋"/>
          <w:sz w:val="32"/>
          <w:szCs w:val="32"/>
        </w:rPr>
        <w:t>在上级主管部门的指导下，积极组织相关单位开展标准制定工作。经过内部讨论</w:t>
      </w:r>
      <w:r>
        <w:rPr>
          <w:rFonts w:ascii="仿宋" w:hAnsi="仿宋" w:eastAsia="仿宋"/>
          <w:sz w:val="32"/>
          <w:szCs w:val="32"/>
        </w:rPr>
        <w:t>、形成初稿、</w:t>
      </w:r>
      <w:r>
        <w:rPr>
          <w:rFonts w:hint="eastAsia" w:ascii="仿宋" w:hAnsi="仿宋" w:eastAsia="仿宋"/>
          <w:sz w:val="32"/>
          <w:szCs w:val="32"/>
        </w:rPr>
        <w:t>征求意见、专家审查，形成标准报批稿。具体过程如下：</w:t>
      </w:r>
    </w:p>
    <w:p>
      <w:pPr>
        <w:snapToGrid w:val="0"/>
        <w:spacing w:line="336" w:lineRule="auto"/>
        <w:ind w:firstLine="643" w:firstLineChars="200"/>
        <w:rPr>
          <w:rFonts w:ascii="仿宋" w:hAnsi="仿宋" w:eastAsia="仿宋"/>
          <w:sz w:val="32"/>
          <w:szCs w:val="32"/>
        </w:rPr>
      </w:pPr>
      <w:r>
        <w:rPr>
          <w:rFonts w:hint="eastAsia" w:ascii="楷体" w:hAnsi="楷体" w:eastAsia="楷体"/>
          <w:b/>
          <w:sz w:val="32"/>
          <w:szCs w:val="32"/>
        </w:rPr>
        <w:t>（一）组建标准制定工作组阶段</w:t>
      </w:r>
      <w:r>
        <w:rPr>
          <w:rFonts w:hint="eastAsia" w:ascii="仿宋" w:hAnsi="仿宋" w:eastAsia="仿宋"/>
          <w:sz w:val="32"/>
          <w:szCs w:val="32"/>
        </w:rPr>
        <w:t>（2022年2月）</w:t>
      </w:r>
    </w:p>
    <w:p>
      <w:pPr>
        <w:snapToGrid w:val="0"/>
        <w:spacing w:line="336" w:lineRule="auto"/>
        <w:ind w:firstLine="640" w:firstLineChars="200"/>
        <w:rPr>
          <w:rFonts w:ascii="仿宋" w:hAnsi="仿宋" w:eastAsia="仿宋"/>
          <w:sz w:val="32"/>
          <w:szCs w:val="32"/>
        </w:rPr>
      </w:pPr>
      <w:r>
        <w:rPr>
          <w:rFonts w:hint="eastAsia" w:ascii="仿宋" w:hAnsi="仿宋" w:eastAsia="仿宋"/>
          <w:sz w:val="32"/>
          <w:szCs w:val="32"/>
        </w:rPr>
        <w:t>组织成立标准制定工作组，启动标准的编制工作。起草单位包括汕头市濠江区鱼丸与餐饮协会，汕头市标准化协会，</w:t>
      </w:r>
      <w:r>
        <w:rPr>
          <w:rFonts w:ascii="仿宋" w:hAnsi="仿宋" w:eastAsia="仿宋"/>
          <w:sz w:val="32"/>
          <w:szCs w:val="32"/>
        </w:rPr>
        <w:t>汕头市食品检验检测中心</w:t>
      </w:r>
      <w:r>
        <w:rPr>
          <w:rFonts w:hint="eastAsia" w:ascii="仿宋" w:hAnsi="仿宋" w:eastAsia="仿宋"/>
          <w:sz w:val="32"/>
          <w:szCs w:val="32"/>
        </w:rPr>
        <w:t>，汕头市达濠李老二食品有限公司，汕头市晶华鱼糜食品厂有限公司（2022年6月更名为汕头市晶华食品有限公司），汕头市濠江区蒂蒂香达濠鱼丸店，汕头市濠江区介浔鱼丸店，汕头市德裕隆食品有限公司</w:t>
      </w:r>
    </w:p>
    <w:p>
      <w:pPr>
        <w:snapToGrid w:val="0"/>
        <w:spacing w:line="336" w:lineRule="auto"/>
        <w:ind w:firstLine="643" w:firstLineChars="200"/>
        <w:rPr>
          <w:rFonts w:ascii="仿宋" w:hAnsi="仿宋" w:eastAsia="仿宋"/>
          <w:sz w:val="32"/>
          <w:szCs w:val="32"/>
        </w:rPr>
      </w:pPr>
      <w:r>
        <w:rPr>
          <w:rFonts w:hint="eastAsia" w:ascii="楷体" w:hAnsi="楷体" w:eastAsia="楷体"/>
          <w:b/>
          <w:sz w:val="32"/>
          <w:szCs w:val="32"/>
        </w:rPr>
        <w:t>（二）标准制定工作组调研并征求意见阶段</w:t>
      </w:r>
      <w:r>
        <w:rPr>
          <w:rFonts w:hint="eastAsia" w:ascii="仿宋" w:hAnsi="仿宋" w:eastAsia="仿宋"/>
          <w:sz w:val="32"/>
          <w:szCs w:val="32"/>
        </w:rPr>
        <w:t>（2022年3月）</w:t>
      </w:r>
    </w:p>
    <w:p>
      <w:pPr>
        <w:snapToGrid w:val="0"/>
        <w:spacing w:line="336" w:lineRule="auto"/>
        <w:ind w:firstLine="640" w:firstLineChars="200"/>
        <w:rPr>
          <w:rFonts w:ascii="仿宋" w:hAnsi="仿宋" w:eastAsia="仿宋"/>
          <w:sz w:val="32"/>
          <w:szCs w:val="32"/>
        </w:rPr>
      </w:pPr>
      <w:r>
        <w:rPr>
          <w:rFonts w:hint="eastAsia" w:ascii="仿宋" w:hAnsi="仿宋" w:eastAsia="仿宋"/>
          <w:sz w:val="32"/>
          <w:szCs w:val="32"/>
        </w:rPr>
        <w:t>在原国家质检总局公告规定的达濠鱼丸质量技术要求基础上，结合原来两份团体标准《地理标志产品 达濠鱼丸》和《达濠鱼丸加工技术规范》，</w:t>
      </w:r>
      <w:r>
        <w:rPr>
          <w:rFonts w:ascii="仿宋" w:hAnsi="仿宋" w:eastAsia="仿宋"/>
          <w:sz w:val="32"/>
          <w:szCs w:val="32"/>
        </w:rPr>
        <w:t>逐渐丰富</w:t>
      </w:r>
      <w:r>
        <w:rPr>
          <w:rFonts w:hint="eastAsia" w:ascii="仿宋" w:hAnsi="仿宋" w:eastAsia="仿宋"/>
          <w:sz w:val="32"/>
          <w:szCs w:val="32"/>
        </w:rPr>
        <w:t>标准</w:t>
      </w:r>
      <w:r>
        <w:rPr>
          <w:rFonts w:ascii="仿宋" w:hAnsi="仿宋" w:eastAsia="仿宋"/>
          <w:sz w:val="32"/>
          <w:szCs w:val="32"/>
        </w:rPr>
        <w:t>内容，</w:t>
      </w:r>
      <w:r>
        <w:rPr>
          <w:rFonts w:hint="eastAsia" w:ascii="仿宋" w:hAnsi="仿宋" w:eastAsia="仿宋"/>
          <w:sz w:val="32"/>
          <w:szCs w:val="32"/>
        </w:rPr>
        <w:t>经过多次分析研究、内部讨论，</w:t>
      </w:r>
      <w:r>
        <w:rPr>
          <w:rFonts w:ascii="仿宋" w:hAnsi="仿宋" w:eastAsia="仿宋"/>
          <w:sz w:val="32"/>
          <w:szCs w:val="32"/>
        </w:rPr>
        <w:t>形成《</w:t>
      </w:r>
      <w:r>
        <w:rPr>
          <w:rFonts w:hint="eastAsia" w:ascii="仿宋" w:hAnsi="仿宋" w:eastAsia="仿宋"/>
          <w:sz w:val="32"/>
          <w:szCs w:val="32"/>
        </w:rPr>
        <w:t>地理标志产品 达濠鱼丸</w:t>
      </w:r>
      <w:r>
        <w:rPr>
          <w:rFonts w:ascii="仿宋" w:hAnsi="仿宋" w:eastAsia="仿宋"/>
          <w:sz w:val="32"/>
          <w:szCs w:val="32"/>
        </w:rPr>
        <w:t>》</w:t>
      </w:r>
      <w:r>
        <w:rPr>
          <w:rFonts w:hint="eastAsia" w:ascii="仿宋" w:hAnsi="仿宋" w:eastAsia="仿宋"/>
          <w:sz w:val="32"/>
          <w:szCs w:val="32"/>
        </w:rPr>
        <w:t>地方标准初稿。标准制定工作组在市工信局、濠江区政府有关部门指导下，先后于3月1日和3月23日在濠江区召开研讨会和征求意见座谈会，广泛征求有关单位和公众意见。</w:t>
      </w:r>
    </w:p>
    <w:p>
      <w:pPr>
        <w:snapToGrid w:val="0"/>
        <w:spacing w:line="336" w:lineRule="auto"/>
        <w:ind w:firstLine="640" w:firstLineChars="200"/>
        <w:rPr>
          <w:rFonts w:ascii="仿宋" w:hAnsi="仿宋" w:eastAsia="仿宋"/>
          <w:sz w:val="32"/>
          <w:szCs w:val="32"/>
        </w:rPr>
      </w:pPr>
      <w:r>
        <w:rPr>
          <w:rFonts w:hint="eastAsia" w:ascii="仿宋" w:hAnsi="仿宋" w:eastAsia="仿宋"/>
          <w:sz w:val="32"/>
          <w:szCs w:val="32"/>
        </w:rPr>
        <w:t>在上述征集各方意见基础上，标准制定工作组通过线上线下等多种研讨方式，形成了标准送审资料。</w:t>
      </w:r>
    </w:p>
    <w:p>
      <w:pPr>
        <w:snapToGrid w:val="0"/>
        <w:spacing w:line="336" w:lineRule="auto"/>
        <w:ind w:firstLine="643" w:firstLineChars="200"/>
        <w:rPr>
          <w:rFonts w:ascii="仿宋" w:hAnsi="仿宋" w:eastAsia="仿宋"/>
          <w:sz w:val="32"/>
          <w:szCs w:val="32"/>
        </w:rPr>
      </w:pPr>
      <w:r>
        <w:rPr>
          <w:rFonts w:hint="eastAsia" w:ascii="楷体" w:hAnsi="楷体" w:eastAsia="楷体"/>
          <w:b/>
          <w:sz w:val="32"/>
          <w:szCs w:val="32"/>
        </w:rPr>
        <w:t>（三）工信局公开征求意见阶段</w:t>
      </w:r>
      <w:r>
        <w:rPr>
          <w:rFonts w:hint="eastAsia" w:ascii="仿宋" w:hAnsi="仿宋" w:eastAsia="仿宋"/>
          <w:sz w:val="32"/>
          <w:szCs w:val="32"/>
        </w:rPr>
        <w:t>（2022年5月）</w:t>
      </w:r>
    </w:p>
    <w:p>
      <w:pPr>
        <w:snapToGrid w:val="0"/>
        <w:spacing w:line="336" w:lineRule="auto"/>
        <w:ind w:firstLine="640" w:firstLineChars="200"/>
        <w:rPr>
          <w:rFonts w:ascii="仿宋" w:hAnsi="仿宋" w:eastAsia="仿宋"/>
          <w:sz w:val="32"/>
          <w:szCs w:val="32"/>
        </w:rPr>
      </w:pPr>
      <w:r>
        <w:rPr>
          <w:rFonts w:hint="eastAsia" w:ascii="仿宋" w:hAnsi="仿宋" w:eastAsia="仿宋"/>
          <w:sz w:val="32"/>
          <w:szCs w:val="32"/>
        </w:rPr>
        <w:t>5月10日，市工信局在网上向社会广泛公开</w:t>
      </w:r>
      <w:r>
        <w:rPr>
          <w:rFonts w:ascii="仿宋" w:hAnsi="仿宋" w:eastAsia="仿宋"/>
          <w:sz w:val="32"/>
          <w:szCs w:val="32"/>
        </w:rPr>
        <w:t>征求意见</w:t>
      </w:r>
      <w:r>
        <w:rPr>
          <w:rFonts w:hint="eastAsia" w:ascii="仿宋" w:hAnsi="仿宋" w:eastAsia="仿宋"/>
          <w:sz w:val="32"/>
          <w:szCs w:val="32"/>
        </w:rPr>
        <w:t>，并向市全面实施标准化战略领导小组成员发函征求意见</w:t>
      </w:r>
      <w:r>
        <w:rPr>
          <w:rFonts w:ascii="仿宋" w:hAnsi="仿宋" w:eastAsia="仿宋"/>
          <w:sz w:val="32"/>
          <w:szCs w:val="32"/>
        </w:rPr>
        <w:t>。</w:t>
      </w:r>
      <w:r>
        <w:rPr>
          <w:rFonts w:hint="eastAsia" w:ascii="仿宋" w:hAnsi="仿宋" w:eastAsia="仿宋"/>
          <w:sz w:val="32"/>
          <w:szCs w:val="32"/>
        </w:rPr>
        <w:t>截止2022年6月中旬，共收到19个单位回函，其中5个单位提出9条修改建议。标准制定工作组经过认真整理分析和充分讨论，采纳6条，不采纳3条（不采纳意见均与提出单位做了解释说明并得到对方理解），并对标准进行相应修改完善。</w:t>
      </w:r>
    </w:p>
    <w:p>
      <w:pPr>
        <w:snapToGrid w:val="0"/>
        <w:spacing w:line="336" w:lineRule="auto"/>
        <w:ind w:firstLine="643" w:firstLineChars="200"/>
        <w:rPr>
          <w:rFonts w:ascii="仿宋" w:hAnsi="仿宋" w:eastAsia="仿宋"/>
          <w:sz w:val="32"/>
          <w:szCs w:val="32"/>
        </w:rPr>
      </w:pPr>
      <w:r>
        <w:rPr>
          <w:rFonts w:hint="eastAsia" w:ascii="楷体" w:hAnsi="楷体" w:eastAsia="楷体"/>
          <w:b/>
          <w:sz w:val="32"/>
          <w:szCs w:val="32"/>
        </w:rPr>
        <w:t>（四）标准审查阶段</w:t>
      </w:r>
      <w:r>
        <w:rPr>
          <w:rFonts w:hint="eastAsia" w:ascii="仿宋" w:hAnsi="仿宋" w:eastAsia="仿宋"/>
          <w:sz w:val="32"/>
          <w:szCs w:val="32"/>
        </w:rPr>
        <w:t>（2022年6月）</w:t>
      </w:r>
    </w:p>
    <w:p>
      <w:pPr>
        <w:snapToGrid w:val="0"/>
        <w:spacing w:line="336" w:lineRule="auto"/>
        <w:ind w:firstLine="640" w:firstLineChars="200"/>
        <w:rPr>
          <w:rFonts w:ascii="仿宋" w:hAnsi="仿宋" w:eastAsia="仿宋"/>
          <w:sz w:val="32"/>
          <w:szCs w:val="32"/>
        </w:rPr>
      </w:pPr>
      <w:r>
        <w:rPr>
          <w:rFonts w:hint="eastAsia" w:ascii="仿宋" w:hAnsi="仿宋" w:eastAsia="仿宋"/>
          <w:sz w:val="32"/>
          <w:szCs w:val="32"/>
        </w:rPr>
        <w:t>2022年6月29日，</w:t>
      </w:r>
      <w:r>
        <w:rPr>
          <w:rFonts w:ascii="仿宋" w:hAnsi="仿宋" w:eastAsia="仿宋"/>
          <w:sz w:val="32"/>
          <w:szCs w:val="32"/>
        </w:rPr>
        <w:t>汕头市工业和信息化局组织</w:t>
      </w:r>
      <w:r>
        <w:rPr>
          <w:rFonts w:hint="eastAsia" w:ascii="仿宋" w:hAnsi="仿宋" w:eastAsia="仿宋"/>
          <w:sz w:val="32"/>
          <w:szCs w:val="32"/>
        </w:rPr>
        <w:t>召开了标准审查会。专家组对标准框架、内容、文本表述、语句等内容进行了详细审查，提出修改建议，一致同意该标准通过审查。</w:t>
      </w:r>
    </w:p>
    <w:p>
      <w:pPr>
        <w:snapToGrid w:val="0"/>
        <w:spacing w:line="336" w:lineRule="auto"/>
        <w:ind w:firstLine="643" w:firstLineChars="200"/>
        <w:rPr>
          <w:rFonts w:ascii="仿宋" w:hAnsi="仿宋" w:eastAsia="仿宋"/>
          <w:sz w:val="32"/>
          <w:szCs w:val="32"/>
        </w:rPr>
      </w:pPr>
      <w:r>
        <w:rPr>
          <w:rFonts w:hint="eastAsia" w:ascii="楷体" w:hAnsi="楷体" w:eastAsia="楷体"/>
          <w:b/>
          <w:sz w:val="32"/>
          <w:szCs w:val="32"/>
        </w:rPr>
        <w:t>（五）报批阶段</w:t>
      </w:r>
      <w:r>
        <w:rPr>
          <w:rFonts w:hint="eastAsia" w:ascii="仿宋" w:hAnsi="仿宋" w:eastAsia="仿宋"/>
          <w:sz w:val="32"/>
          <w:szCs w:val="32"/>
        </w:rPr>
        <w:t>（2022年7～9月）</w:t>
      </w:r>
    </w:p>
    <w:p>
      <w:pPr>
        <w:snapToGrid w:val="0"/>
        <w:spacing w:line="336" w:lineRule="auto"/>
        <w:ind w:firstLine="640" w:firstLineChars="200"/>
        <w:rPr>
          <w:rFonts w:ascii="仿宋" w:hAnsi="仿宋" w:eastAsia="仿宋"/>
          <w:sz w:val="32"/>
          <w:szCs w:val="32"/>
        </w:rPr>
      </w:pPr>
      <w:r>
        <w:rPr>
          <w:rFonts w:hint="eastAsia" w:ascii="仿宋" w:hAnsi="仿宋" w:eastAsia="仿宋"/>
          <w:sz w:val="32"/>
          <w:szCs w:val="32"/>
        </w:rPr>
        <w:t>根据专家组审查意见对标准作了认真修改，然后将标准报批稿及编制说明电子版发给审查专家组成员进行审核，经专家组全体成员审核并同意报批稿内容后，形成了标准的报批稿、编制说明和审查意见汇总表等报批材料。</w:t>
      </w:r>
    </w:p>
    <w:p>
      <w:pPr>
        <w:snapToGrid w:val="0"/>
        <w:spacing w:before="156" w:beforeLines="50" w:after="156" w:afterLines="50" w:line="336" w:lineRule="auto"/>
        <w:rPr>
          <w:rFonts w:ascii="黑体" w:hAnsi="黑体" w:eastAsia="黑体"/>
          <w:sz w:val="32"/>
          <w:szCs w:val="32"/>
        </w:rPr>
      </w:pPr>
      <w:r>
        <w:rPr>
          <w:rFonts w:hint="eastAsia" w:ascii="黑体" w:hAnsi="黑体" w:eastAsia="黑体"/>
          <w:sz w:val="32"/>
          <w:szCs w:val="32"/>
          <w:lang w:val="en-US" w:eastAsia="zh-CN"/>
        </w:rPr>
        <w:t xml:space="preserve">    </w:t>
      </w:r>
      <w:r>
        <w:rPr>
          <w:rFonts w:hint="eastAsia" w:ascii="黑体" w:hAnsi="黑体" w:eastAsia="黑体"/>
          <w:sz w:val="32"/>
          <w:szCs w:val="32"/>
        </w:rPr>
        <w:t>三</w:t>
      </w:r>
      <w:r>
        <w:rPr>
          <w:rFonts w:ascii="黑体" w:hAnsi="黑体" w:eastAsia="黑体"/>
          <w:sz w:val="32"/>
          <w:szCs w:val="32"/>
        </w:rPr>
        <w:t>、</w:t>
      </w:r>
      <w:r>
        <w:rPr>
          <w:rFonts w:hint="eastAsia" w:ascii="黑体" w:hAnsi="黑体" w:eastAsia="黑体"/>
          <w:sz w:val="32"/>
          <w:szCs w:val="32"/>
        </w:rPr>
        <w:t>项目涉及技术在汕头市的基本情况</w:t>
      </w:r>
    </w:p>
    <w:p>
      <w:pPr>
        <w:snapToGrid w:val="0"/>
        <w:spacing w:before="156" w:beforeLines="50" w:after="156" w:afterLines="50" w:line="336" w:lineRule="auto"/>
        <w:ind w:firstLine="640" w:firstLineChars="200"/>
        <w:rPr>
          <w:rFonts w:ascii="仿宋" w:hAnsi="仿宋" w:eastAsia="仿宋"/>
          <w:sz w:val="32"/>
          <w:szCs w:val="32"/>
        </w:rPr>
      </w:pPr>
      <w:r>
        <w:rPr>
          <w:rFonts w:ascii="仿宋" w:hAnsi="仿宋" w:eastAsia="仿宋"/>
          <w:sz w:val="32"/>
          <w:szCs w:val="32"/>
        </w:rPr>
        <w:t>20</w:t>
      </w:r>
      <w:r>
        <w:rPr>
          <w:rFonts w:hint="eastAsia" w:ascii="仿宋" w:hAnsi="仿宋" w:eastAsia="仿宋"/>
          <w:sz w:val="32"/>
          <w:szCs w:val="32"/>
        </w:rPr>
        <w:t>18</w:t>
      </w:r>
      <w:r>
        <w:rPr>
          <w:rFonts w:ascii="仿宋" w:hAnsi="仿宋" w:eastAsia="仿宋"/>
          <w:sz w:val="32"/>
          <w:szCs w:val="32"/>
        </w:rPr>
        <w:t>年</w:t>
      </w:r>
      <w:r>
        <w:rPr>
          <w:rFonts w:hint="eastAsia" w:ascii="仿宋" w:hAnsi="仿宋" w:eastAsia="仿宋"/>
          <w:sz w:val="32"/>
          <w:szCs w:val="32"/>
        </w:rPr>
        <w:t>5月12日，广东省人民政府粤府函</w:t>
      </w:r>
      <w:r>
        <w:rPr>
          <w:rFonts w:ascii="仿宋" w:hAnsi="仿宋" w:eastAsia="仿宋"/>
          <w:sz w:val="32"/>
          <w:szCs w:val="32"/>
        </w:rPr>
        <w:t>[</w:t>
      </w:r>
      <w:r>
        <w:rPr>
          <w:rFonts w:hint="eastAsia" w:ascii="仿宋" w:hAnsi="仿宋" w:eastAsia="仿宋"/>
          <w:sz w:val="32"/>
          <w:szCs w:val="32"/>
        </w:rPr>
        <w:t>2018</w:t>
      </w:r>
      <w:r>
        <w:rPr>
          <w:rFonts w:ascii="仿宋" w:hAnsi="仿宋" w:eastAsia="仿宋"/>
          <w:sz w:val="32"/>
          <w:szCs w:val="32"/>
        </w:rPr>
        <w:t>]</w:t>
      </w:r>
      <w:r>
        <w:rPr>
          <w:rFonts w:hint="eastAsia" w:ascii="仿宋" w:hAnsi="仿宋" w:eastAsia="仿宋"/>
          <w:sz w:val="32"/>
          <w:szCs w:val="32"/>
        </w:rPr>
        <w:t>116号批准汕头市濠江区“鱼丸制作技艺”为省级非物质文化遗产代表性项目。</w:t>
      </w:r>
      <w:r>
        <w:rPr>
          <w:rFonts w:ascii="仿宋" w:hAnsi="仿宋" w:eastAsia="仿宋"/>
          <w:sz w:val="32"/>
          <w:szCs w:val="32"/>
        </w:rPr>
        <w:t>2020年4</w:t>
      </w:r>
      <w:r>
        <w:rPr>
          <w:rFonts w:hint="eastAsia" w:ascii="仿宋" w:hAnsi="仿宋" w:eastAsia="仿宋"/>
          <w:sz w:val="32"/>
          <w:szCs w:val="32"/>
        </w:rPr>
        <w:t>月</w:t>
      </w:r>
      <w:r>
        <w:rPr>
          <w:rFonts w:ascii="仿宋" w:hAnsi="仿宋" w:eastAsia="仿宋"/>
          <w:sz w:val="32"/>
          <w:szCs w:val="32"/>
        </w:rPr>
        <w:t>10</w:t>
      </w:r>
      <w:r>
        <w:rPr>
          <w:rFonts w:hint="eastAsia" w:ascii="仿宋" w:hAnsi="仿宋" w:eastAsia="仿宋"/>
          <w:sz w:val="32"/>
          <w:szCs w:val="32"/>
        </w:rPr>
        <w:t>日，</w:t>
      </w:r>
      <w:r>
        <w:rPr>
          <w:rFonts w:ascii="仿宋" w:hAnsi="仿宋" w:eastAsia="仿宋"/>
          <w:sz w:val="32"/>
          <w:szCs w:val="32"/>
        </w:rPr>
        <w:t>广东省文化和旅游厅粤文旅非遗〔2020〕7号</w:t>
      </w:r>
      <w:r>
        <w:rPr>
          <w:rFonts w:hint="eastAsia" w:ascii="仿宋" w:hAnsi="仿宋" w:eastAsia="仿宋"/>
          <w:sz w:val="32"/>
          <w:szCs w:val="32"/>
        </w:rPr>
        <w:t>文公布汕头市林木隆（汕头市濠江区蒂蒂香达濠鱼丸店）为“鱼丸制作技艺”省级非物质文化遗产代表性项目代表性传承人。</w:t>
      </w:r>
      <w:r>
        <w:rPr>
          <w:rFonts w:ascii="仿宋" w:hAnsi="仿宋" w:eastAsia="仿宋"/>
          <w:sz w:val="32"/>
          <w:szCs w:val="32"/>
        </w:rPr>
        <w:t>2017年4月29日</w:t>
      </w:r>
      <w:r>
        <w:rPr>
          <w:rFonts w:hint="eastAsia" w:ascii="仿宋" w:hAnsi="仿宋" w:eastAsia="仿宋"/>
          <w:sz w:val="32"/>
          <w:szCs w:val="32"/>
        </w:rPr>
        <w:t>，</w:t>
      </w:r>
      <w:r>
        <w:rPr>
          <w:rFonts w:ascii="仿宋" w:hAnsi="仿宋" w:eastAsia="仿宋"/>
          <w:sz w:val="32"/>
          <w:szCs w:val="32"/>
        </w:rPr>
        <w:t>汕头市人民政府汕府〔2017〕44号</w:t>
      </w:r>
      <w:r>
        <w:rPr>
          <w:rFonts w:hint="eastAsia" w:ascii="仿宋" w:hAnsi="仿宋" w:eastAsia="仿宋"/>
          <w:sz w:val="32"/>
          <w:szCs w:val="32"/>
        </w:rPr>
        <w:t>文公布汕头市晶华鱼糜食品厂有限公司的“鱼丸制作技艺”（晶华鱼丸制作技艺）和汕头市濠江区蒂蒂香达濠鱼丸店的“鱼丸制作技艺”（蒂蒂香鱼丸制作技艺）为市级非物质文化遗产代表性项目。</w:t>
      </w:r>
    </w:p>
    <w:p>
      <w:pPr>
        <w:snapToGrid w:val="0"/>
        <w:spacing w:before="156" w:beforeLines="50" w:after="156" w:afterLines="50" w:line="336" w:lineRule="auto"/>
        <w:ind w:firstLine="640" w:firstLineChars="200"/>
        <w:rPr>
          <w:rFonts w:ascii="仿宋" w:hAnsi="仿宋" w:eastAsia="仿宋"/>
          <w:color w:val="FF0000"/>
          <w:sz w:val="32"/>
          <w:szCs w:val="32"/>
        </w:rPr>
      </w:pPr>
      <w:r>
        <w:rPr>
          <w:rFonts w:hint="eastAsia" w:ascii="仿宋" w:hAnsi="仿宋" w:eastAsia="仿宋"/>
          <w:sz w:val="32"/>
          <w:szCs w:val="32"/>
        </w:rPr>
        <w:t>本地方标准涉及技术是“鱼丸制作技艺”，已获批“鱼丸制作技艺”省、市级非物质文化遗产代表性项目的单位和传承人均为本地方标准的主要起草单位和起草人。</w:t>
      </w:r>
    </w:p>
    <w:p>
      <w:pPr>
        <w:snapToGrid w:val="0"/>
        <w:spacing w:before="156" w:beforeLines="50" w:after="156" w:afterLines="50" w:line="336" w:lineRule="auto"/>
        <w:rPr>
          <w:rFonts w:ascii="黑体" w:hAnsi="黑体" w:eastAsia="黑体"/>
          <w:sz w:val="32"/>
          <w:szCs w:val="32"/>
        </w:rPr>
      </w:pPr>
      <w:r>
        <w:rPr>
          <w:rFonts w:hint="eastAsia" w:ascii="黑体" w:hAnsi="黑体" w:eastAsia="黑体"/>
          <w:sz w:val="32"/>
          <w:szCs w:val="32"/>
          <w:lang w:val="en-US" w:eastAsia="zh-CN"/>
        </w:rPr>
        <w:t xml:space="preserve">    </w:t>
      </w:r>
      <w:r>
        <w:rPr>
          <w:rFonts w:hint="eastAsia" w:ascii="黑体" w:hAnsi="黑体" w:eastAsia="黑体"/>
          <w:sz w:val="32"/>
          <w:szCs w:val="32"/>
        </w:rPr>
        <w:t>四</w:t>
      </w:r>
      <w:r>
        <w:rPr>
          <w:rFonts w:ascii="黑体" w:hAnsi="黑体" w:eastAsia="黑体"/>
          <w:sz w:val="32"/>
          <w:szCs w:val="32"/>
        </w:rPr>
        <w:t>、标准编制原则，标准框架、主要内容及其确定依据</w:t>
      </w:r>
    </w:p>
    <w:p>
      <w:pPr>
        <w:snapToGrid w:val="0"/>
        <w:spacing w:line="336" w:lineRule="auto"/>
        <w:ind w:firstLine="643" w:firstLineChars="200"/>
        <w:rPr>
          <w:rFonts w:ascii="楷体" w:hAnsi="楷体" w:eastAsia="楷体"/>
          <w:b/>
          <w:sz w:val="32"/>
          <w:szCs w:val="32"/>
        </w:rPr>
      </w:pPr>
      <w:r>
        <w:rPr>
          <w:rFonts w:hint="eastAsia" w:ascii="楷体" w:hAnsi="楷体" w:eastAsia="楷体"/>
          <w:b/>
          <w:sz w:val="32"/>
          <w:szCs w:val="32"/>
        </w:rPr>
        <w:t>（一）标准编制原则</w:t>
      </w:r>
    </w:p>
    <w:p>
      <w:pPr>
        <w:snapToGrid w:val="0"/>
        <w:spacing w:line="336" w:lineRule="auto"/>
        <w:ind w:firstLine="640" w:firstLineChars="200"/>
        <w:rPr>
          <w:rFonts w:ascii="仿宋" w:hAnsi="仿宋" w:eastAsia="仿宋"/>
          <w:sz w:val="32"/>
          <w:szCs w:val="32"/>
        </w:rPr>
      </w:pPr>
      <w:r>
        <w:rPr>
          <w:rFonts w:ascii="仿宋" w:hAnsi="仿宋" w:eastAsia="仿宋"/>
          <w:sz w:val="32"/>
          <w:szCs w:val="32"/>
        </w:rPr>
        <w:t>1</w:t>
      </w:r>
      <w:r>
        <w:rPr>
          <w:rFonts w:hint="eastAsia" w:ascii="仿宋" w:hAnsi="仿宋" w:eastAsia="仿宋"/>
          <w:sz w:val="32"/>
          <w:szCs w:val="32"/>
        </w:rPr>
        <w:t>.遵循国家有关方针和政策、法规和规章；</w:t>
      </w:r>
    </w:p>
    <w:p>
      <w:pPr>
        <w:snapToGrid w:val="0"/>
        <w:spacing w:line="336" w:lineRule="auto"/>
        <w:ind w:firstLine="640" w:firstLineChars="200"/>
        <w:rPr>
          <w:rFonts w:ascii="仿宋" w:hAnsi="仿宋" w:eastAsia="仿宋"/>
          <w:sz w:val="32"/>
          <w:szCs w:val="32"/>
        </w:rPr>
      </w:pPr>
      <w:r>
        <w:rPr>
          <w:rFonts w:ascii="仿宋" w:hAnsi="仿宋" w:eastAsia="仿宋"/>
          <w:sz w:val="32"/>
          <w:szCs w:val="32"/>
        </w:rPr>
        <w:t>2</w:t>
      </w:r>
      <w:r>
        <w:rPr>
          <w:rFonts w:hint="eastAsia" w:ascii="仿宋" w:hAnsi="仿宋" w:eastAsia="仿宋"/>
          <w:sz w:val="32"/>
          <w:szCs w:val="32"/>
        </w:rPr>
        <w:t>.格式上按照</w:t>
      </w:r>
      <w:r>
        <w:rPr>
          <w:rFonts w:ascii="仿宋" w:hAnsi="仿宋" w:eastAsia="仿宋"/>
          <w:sz w:val="32"/>
          <w:szCs w:val="32"/>
        </w:rPr>
        <w:t>GB/T 1.1-20</w:t>
      </w:r>
      <w:r>
        <w:rPr>
          <w:rFonts w:hint="eastAsia" w:ascii="仿宋" w:hAnsi="仿宋" w:eastAsia="仿宋"/>
          <w:sz w:val="32"/>
          <w:szCs w:val="32"/>
        </w:rPr>
        <w:t>20《标准化工作导则 第1部分 标准化文件的结构和起草规则》的规定进行编写；</w:t>
      </w:r>
    </w:p>
    <w:p>
      <w:pPr>
        <w:snapToGrid w:val="0"/>
        <w:spacing w:line="336" w:lineRule="auto"/>
        <w:ind w:firstLine="640" w:firstLineChars="200"/>
        <w:rPr>
          <w:rFonts w:ascii="仿宋" w:hAnsi="仿宋" w:eastAsia="仿宋"/>
          <w:sz w:val="32"/>
          <w:szCs w:val="32"/>
        </w:rPr>
      </w:pPr>
      <w:r>
        <w:rPr>
          <w:rFonts w:hint="eastAsia" w:ascii="仿宋" w:hAnsi="仿宋" w:eastAsia="仿宋"/>
          <w:sz w:val="32"/>
          <w:szCs w:val="32"/>
        </w:rPr>
        <w:t>3.根据原国家质量监督检验检疫总局第78号令《地理标志产品保护规定》、2018年第31号公告规定的达濠鱼丸质量技术要求和GB/T 17924-2008《地理标志产品标准通用要求》制定。</w:t>
      </w:r>
    </w:p>
    <w:p>
      <w:pPr>
        <w:snapToGrid w:val="0"/>
        <w:spacing w:line="336" w:lineRule="auto"/>
        <w:ind w:firstLine="640" w:firstLineChars="200"/>
        <w:rPr>
          <w:rFonts w:ascii="仿宋" w:hAnsi="仿宋" w:eastAsia="仿宋"/>
          <w:sz w:val="32"/>
          <w:szCs w:val="32"/>
        </w:rPr>
      </w:pPr>
      <w:r>
        <w:rPr>
          <w:rFonts w:hint="eastAsia" w:ascii="仿宋" w:hAnsi="仿宋" w:eastAsia="仿宋"/>
          <w:sz w:val="32"/>
          <w:szCs w:val="32"/>
        </w:rPr>
        <w:t>4.严格执行强制性国家标准，参考国家标准对类似产品试验的相关要求，充分考虑与其它相关标准相协调；</w:t>
      </w:r>
    </w:p>
    <w:p>
      <w:pPr>
        <w:snapToGrid w:val="0"/>
        <w:spacing w:line="336" w:lineRule="auto"/>
        <w:ind w:firstLine="640" w:firstLineChars="200"/>
        <w:rPr>
          <w:rFonts w:ascii="仿宋" w:hAnsi="仿宋" w:eastAsia="仿宋"/>
          <w:sz w:val="32"/>
          <w:szCs w:val="32"/>
        </w:rPr>
      </w:pPr>
      <w:r>
        <w:rPr>
          <w:rFonts w:hint="eastAsia" w:ascii="仿宋" w:hAnsi="仿宋" w:eastAsia="仿宋"/>
          <w:sz w:val="32"/>
          <w:szCs w:val="32"/>
        </w:rPr>
        <w:t>5.充分听取各方意见，进行广泛的调查研究和必要的试验验证工作，确保本标准既可作为质量监督管理机构的监督依据，又可作为企业指导生产的基础文件。</w:t>
      </w:r>
    </w:p>
    <w:p>
      <w:pPr>
        <w:snapToGrid w:val="0"/>
        <w:spacing w:line="336" w:lineRule="auto"/>
        <w:ind w:firstLine="640" w:firstLineChars="200"/>
        <w:rPr>
          <w:rFonts w:ascii="仿宋" w:hAnsi="仿宋" w:eastAsia="仿宋"/>
          <w:sz w:val="32"/>
          <w:szCs w:val="32"/>
        </w:rPr>
      </w:pPr>
      <w:r>
        <w:rPr>
          <w:rFonts w:hint="eastAsia" w:ascii="仿宋" w:hAnsi="仿宋" w:eastAsia="仿宋"/>
          <w:sz w:val="32"/>
          <w:szCs w:val="32"/>
        </w:rPr>
        <w:t>6.既体现基本要求，又兼顾发展需要，在技术指标、参数的确定上具有选择性、灵活性，在保证产品质量的同时，给予生产厂家依据实际情况自行调节的空间。</w:t>
      </w:r>
    </w:p>
    <w:p>
      <w:pPr>
        <w:snapToGrid w:val="0"/>
        <w:spacing w:line="336" w:lineRule="auto"/>
        <w:ind w:firstLine="643" w:firstLineChars="200"/>
        <w:rPr>
          <w:rFonts w:ascii="楷体" w:hAnsi="楷体" w:eastAsia="楷体"/>
          <w:b/>
          <w:sz w:val="32"/>
          <w:szCs w:val="32"/>
        </w:rPr>
      </w:pPr>
      <w:r>
        <w:rPr>
          <w:rFonts w:hint="eastAsia" w:ascii="楷体" w:hAnsi="楷体" w:eastAsia="楷体"/>
          <w:b/>
          <w:sz w:val="32"/>
          <w:szCs w:val="32"/>
        </w:rPr>
        <w:t>（二）标准框架、主要内容及确定依据</w:t>
      </w:r>
    </w:p>
    <w:p>
      <w:pPr>
        <w:snapToGrid w:val="0"/>
        <w:spacing w:line="336" w:lineRule="auto"/>
        <w:ind w:firstLine="640" w:firstLineChars="200"/>
        <w:rPr>
          <w:rFonts w:ascii="仿宋" w:hAnsi="仿宋" w:eastAsia="仿宋"/>
          <w:color w:val="FF0000"/>
          <w:sz w:val="32"/>
          <w:szCs w:val="32"/>
        </w:rPr>
      </w:pPr>
      <w:r>
        <w:rPr>
          <w:rFonts w:hint="eastAsia" w:ascii="仿宋" w:hAnsi="仿宋" w:eastAsia="仿宋"/>
          <w:sz w:val="32"/>
          <w:szCs w:val="32"/>
        </w:rPr>
        <w:t>本标准分为10个组成部分，主要内容说明如下：</w:t>
      </w:r>
    </w:p>
    <w:p>
      <w:pPr>
        <w:snapToGrid w:val="0"/>
        <w:spacing w:line="336" w:lineRule="auto"/>
        <w:ind w:firstLine="640" w:firstLineChars="200"/>
        <w:rPr>
          <w:rFonts w:ascii="仿宋" w:hAnsi="仿宋" w:eastAsia="仿宋"/>
          <w:sz w:val="32"/>
          <w:szCs w:val="32"/>
        </w:rPr>
      </w:pPr>
      <w:r>
        <w:rPr>
          <w:rFonts w:hint="eastAsia" w:ascii="仿宋" w:hAnsi="仿宋" w:eastAsia="仿宋"/>
          <w:sz w:val="32"/>
          <w:szCs w:val="32"/>
        </w:rPr>
        <w:t>1.范围</w:t>
      </w:r>
    </w:p>
    <w:p>
      <w:pPr>
        <w:snapToGrid w:val="0"/>
        <w:spacing w:line="336" w:lineRule="auto"/>
        <w:ind w:firstLine="640" w:firstLineChars="200"/>
        <w:rPr>
          <w:rFonts w:ascii="仿宋" w:hAnsi="仿宋" w:eastAsia="仿宋"/>
          <w:sz w:val="32"/>
          <w:szCs w:val="32"/>
        </w:rPr>
      </w:pPr>
      <w:r>
        <w:rPr>
          <w:rFonts w:hint="eastAsia" w:ascii="仿宋" w:hAnsi="仿宋" w:eastAsia="仿宋"/>
          <w:sz w:val="32"/>
          <w:szCs w:val="32"/>
        </w:rPr>
        <w:t>规定了</w:t>
      </w:r>
      <w:r>
        <w:rPr>
          <w:rFonts w:ascii="仿宋" w:hAnsi="仿宋" w:eastAsia="仿宋"/>
          <w:sz w:val="32"/>
          <w:szCs w:val="32"/>
        </w:rPr>
        <w:t>本</w:t>
      </w:r>
      <w:r>
        <w:rPr>
          <w:rFonts w:hint="eastAsia" w:ascii="仿宋" w:hAnsi="仿宋" w:eastAsia="仿宋"/>
          <w:sz w:val="32"/>
          <w:szCs w:val="32"/>
        </w:rPr>
        <w:t>文件</w:t>
      </w:r>
      <w:r>
        <w:rPr>
          <w:rFonts w:ascii="仿宋" w:hAnsi="仿宋" w:eastAsia="仿宋"/>
          <w:sz w:val="32"/>
          <w:szCs w:val="32"/>
        </w:rPr>
        <w:t>的</w:t>
      </w:r>
      <w:r>
        <w:rPr>
          <w:rFonts w:hint="eastAsia" w:ascii="仿宋" w:hAnsi="仿宋" w:eastAsia="仿宋"/>
          <w:sz w:val="32"/>
          <w:szCs w:val="32"/>
        </w:rPr>
        <w:t>主要</w:t>
      </w:r>
      <w:r>
        <w:rPr>
          <w:rFonts w:ascii="仿宋" w:hAnsi="仿宋" w:eastAsia="仿宋"/>
          <w:sz w:val="32"/>
          <w:szCs w:val="32"/>
        </w:rPr>
        <w:t>内容和适用范围</w:t>
      </w:r>
    </w:p>
    <w:p>
      <w:pPr>
        <w:snapToGrid w:val="0"/>
        <w:spacing w:line="336" w:lineRule="auto"/>
        <w:ind w:firstLine="640" w:firstLineChars="200"/>
        <w:rPr>
          <w:rFonts w:ascii="仿宋" w:hAnsi="仿宋" w:eastAsia="仿宋"/>
          <w:sz w:val="32"/>
          <w:szCs w:val="32"/>
        </w:rPr>
      </w:pPr>
      <w:r>
        <w:rPr>
          <w:rFonts w:hint="eastAsia" w:ascii="仿宋" w:hAnsi="仿宋" w:eastAsia="仿宋"/>
          <w:sz w:val="32"/>
          <w:szCs w:val="32"/>
        </w:rPr>
        <w:t>2.规范性引用文件</w:t>
      </w:r>
    </w:p>
    <w:p>
      <w:pPr>
        <w:snapToGrid w:val="0"/>
        <w:spacing w:line="336" w:lineRule="auto"/>
        <w:ind w:firstLine="640" w:firstLineChars="200"/>
        <w:rPr>
          <w:rFonts w:ascii="仿宋" w:hAnsi="仿宋" w:eastAsia="仿宋"/>
          <w:sz w:val="32"/>
          <w:szCs w:val="32"/>
        </w:rPr>
      </w:pPr>
      <w:r>
        <w:rPr>
          <w:rFonts w:hint="eastAsia" w:ascii="仿宋" w:hAnsi="仿宋" w:eastAsia="仿宋"/>
          <w:sz w:val="32"/>
          <w:szCs w:val="32"/>
        </w:rPr>
        <w:t>列出了本文件</w:t>
      </w:r>
      <w:r>
        <w:rPr>
          <w:rFonts w:ascii="仿宋" w:hAnsi="仿宋" w:eastAsia="仿宋"/>
          <w:sz w:val="32"/>
          <w:szCs w:val="32"/>
        </w:rPr>
        <w:t>规范性引用的文件</w:t>
      </w:r>
      <w:r>
        <w:rPr>
          <w:rFonts w:hint="eastAsia" w:ascii="仿宋" w:hAnsi="仿宋" w:eastAsia="仿宋"/>
          <w:sz w:val="32"/>
          <w:szCs w:val="32"/>
        </w:rPr>
        <w:t>。</w:t>
      </w:r>
    </w:p>
    <w:p>
      <w:pPr>
        <w:snapToGrid w:val="0"/>
        <w:spacing w:line="336" w:lineRule="auto"/>
        <w:ind w:firstLine="640" w:firstLineChars="200"/>
        <w:rPr>
          <w:rFonts w:ascii="仿宋" w:hAnsi="仿宋" w:eastAsia="仿宋"/>
          <w:sz w:val="32"/>
          <w:szCs w:val="32"/>
        </w:rPr>
      </w:pPr>
      <w:r>
        <w:rPr>
          <w:rFonts w:hint="eastAsia" w:ascii="仿宋" w:hAnsi="仿宋" w:eastAsia="仿宋"/>
          <w:sz w:val="32"/>
          <w:szCs w:val="32"/>
        </w:rPr>
        <w:t>3.术语和定义</w:t>
      </w:r>
    </w:p>
    <w:p>
      <w:pPr>
        <w:snapToGrid w:val="0"/>
        <w:spacing w:line="336" w:lineRule="auto"/>
        <w:ind w:firstLine="640" w:firstLineChars="200"/>
        <w:rPr>
          <w:rFonts w:ascii="仿宋" w:hAnsi="仿宋" w:eastAsia="仿宋"/>
          <w:sz w:val="32"/>
          <w:szCs w:val="32"/>
        </w:rPr>
      </w:pPr>
      <w:r>
        <w:rPr>
          <w:rFonts w:hint="eastAsia" w:ascii="仿宋" w:hAnsi="仿宋" w:eastAsia="仿宋"/>
          <w:sz w:val="32"/>
          <w:szCs w:val="32"/>
        </w:rPr>
        <w:t>引用了国家标准中相关的术语和定义内容，并对“达濠鱼丸”进行定义。</w:t>
      </w:r>
    </w:p>
    <w:p>
      <w:pPr>
        <w:snapToGrid w:val="0"/>
        <w:spacing w:line="336" w:lineRule="auto"/>
        <w:ind w:firstLine="640" w:firstLineChars="200"/>
        <w:rPr>
          <w:rFonts w:ascii="仿宋" w:hAnsi="仿宋" w:eastAsia="仿宋"/>
          <w:sz w:val="32"/>
          <w:szCs w:val="32"/>
        </w:rPr>
      </w:pPr>
      <w:r>
        <w:rPr>
          <w:rFonts w:hint="eastAsia" w:ascii="仿宋" w:hAnsi="仿宋" w:eastAsia="仿宋"/>
          <w:sz w:val="32"/>
          <w:szCs w:val="32"/>
        </w:rPr>
        <w:t>4.地理标志产品保护范围</w:t>
      </w:r>
    </w:p>
    <w:p>
      <w:pPr>
        <w:snapToGrid w:val="0"/>
        <w:spacing w:line="336" w:lineRule="auto"/>
        <w:ind w:firstLine="640" w:firstLineChars="200"/>
        <w:rPr>
          <w:rFonts w:ascii="仿宋" w:hAnsi="仿宋" w:eastAsia="仿宋"/>
          <w:sz w:val="32"/>
          <w:szCs w:val="32"/>
        </w:rPr>
      </w:pPr>
      <w:r>
        <w:rPr>
          <w:rFonts w:hint="eastAsia" w:ascii="仿宋" w:hAnsi="仿宋" w:eastAsia="仿宋"/>
          <w:sz w:val="32"/>
          <w:szCs w:val="32"/>
        </w:rPr>
        <w:t>规定了“达濠鱼丸”地理标志产品的保护范围。</w:t>
      </w:r>
    </w:p>
    <w:p>
      <w:pPr>
        <w:snapToGrid w:val="0"/>
        <w:spacing w:line="336" w:lineRule="auto"/>
        <w:ind w:firstLine="640" w:firstLineChars="200"/>
        <w:rPr>
          <w:rFonts w:ascii="仿宋" w:hAnsi="仿宋" w:eastAsia="仿宋"/>
          <w:sz w:val="32"/>
          <w:szCs w:val="32"/>
        </w:rPr>
      </w:pPr>
      <w:r>
        <w:rPr>
          <w:rFonts w:hint="eastAsia" w:ascii="仿宋" w:hAnsi="仿宋" w:eastAsia="仿宋"/>
          <w:sz w:val="32"/>
          <w:szCs w:val="32"/>
        </w:rPr>
        <w:t>5.自然环境</w:t>
      </w:r>
    </w:p>
    <w:p>
      <w:pPr>
        <w:snapToGrid w:val="0"/>
        <w:spacing w:line="336" w:lineRule="auto"/>
        <w:ind w:firstLine="640" w:firstLineChars="200"/>
        <w:rPr>
          <w:rFonts w:ascii="仿宋" w:hAnsi="仿宋" w:eastAsia="仿宋"/>
          <w:sz w:val="32"/>
          <w:szCs w:val="32"/>
        </w:rPr>
      </w:pPr>
      <w:r>
        <w:rPr>
          <w:rFonts w:hint="eastAsia" w:ascii="仿宋" w:hAnsi="仿宋" w:eastAsia="仿宋"/>
          <w:sz w:val="32"/>
          <w:szCs w:val="32"/>
        </w:rPr>
        <w:t>根据GB/T 17924-2008《地理标志产品标志通用要求》，明确地理标志产品保护范围的环境条件。特别指出潮汕平原充足的雨水带来丰富淡水资源，经韩、榕、练三江汇入濠江临近的海域，咸淡水流交汇盐度适中，加之充足而温和的日照环境，造就濠江区临近的海域水质肥沃、浮游生物丰富、鱼类资源丰富鲜美。为达濠鱼丸提供了独特的原料鱼——蛇鲻鱼（俗称“那哥鱼”）。</w:t>
      </w:r>
    </w:p>
    <w:p>
      <w:pPr>
        <w:snapToGrid w:val="0"/>
        <w:spacing w:line="336" w:lineRule="auto"/>
        <w:ind w:firstLine="640" w:firstLineChars="200"/>
        <w:rPr>
          <w:rFonts w:ascii="仿宋" w:hAnsi="仿宋" w:eastAsia="仿宋"/>
          <w:sz w:val="32"/>
          <w:szCs w:val="32"/>
        </w:rPr>
      </w:pPr>
      <w:r>
        <w:rPr>
          <w:rFonts w:hint="eastAsia" w:ascii="仿宋" w:hAnsi="仿宋" w:eastAsia="仿宋"/>
          <w:sz w:val="32"/>
          <w:szCs w:val="32"/>
        </w:rPr>
        <w:t>6.要求</w:t>
      </w:r>
    </w:p>
    <w:p>
      <w:pPr>
        <w:snapToGrid w:val="0"/>
        <w:spacing w:line="336" w:lineRule="auto"/>
        <w:ind w:firstLine="640" w:firstLineChars="200"/>
        <w:rPr>
          <w:rFonts w:ascii="仿宋" w:hAnsi="仿宋" w:eastAsia="仿宋"/>
          <w:sz w:val="32"/>
          <w:szCs w:val="32"/>
        </w:rPr>
      </w:pPr>
      <w:r>
        <w:rPr>
          <w:rFonts w:hint="eastAsia" w:ascii="仿宋" w:hAnsi="仿宋" w:eastAsia="仿宋"/>
          <w:sz w:val="32"/>
          <w:szCs w:val="32"/>
        </w:rPr>
        <w:t>在符合原国家质量监督检验检疫总局2018年第31号公告规定的达濠鱼丸质量技术要求的基础上，</w:t>
      </w:r>
      <w:r>
        <w:rPr>
          <w:rFonts w:ascii="仿宋" w:hAnsi="仿宋" w:eastAsia="仿宋"/>
          <w:sz w:val="32"/>
          <w:szCs w:val="32"/>
        </w:rPr>
        <w:t>细化了每个环节的技术要点</w:t>
      </w:r>
      <w:r>
        <w:rPr>
          <w:rFonts w:hint="eastAsia" w:ascii="仿宋" w:hAnsi="仿宋" w:eastAsia="仿宋"/>
          <w:sz w:val="32"/>
          <w:szCs w:val="32"/>
        </w:rPr>
        <w:t>。</w:t>
      </w:r>
    </w:p>
    <w:p>
      <w:pPr>
        <w:snapToGrid w:val="0"/>
        <w:spacing w:line="336" w:lineRule="auto"/>
        <w:ind w:firstLine="640" w:firstLineChars="200"/>
        <w:rPr>
          <w:rFonts w:ascii="仿宋" w:hAnsi="仿宋" w:eastAsia="仿宋"/>
          <w:sz w:val="32"/>
          <w:szCs w:val="32"/>
        </w:rPr>
      </w:pPr>
      <w:r>
        <w:rPr>
          <w:rFonts w:hint="eastAsia" w:ascii="仿宋" w:hAnsi="仿宋" w:eastAsia="仿宋"/>
          <w:sz w:val="32"/>
          <w:szCs w:val="32"/>
        </w:rPr>
        <w:t>①在</w:t>
      </w:r>
      <w:r>
        <w:rPr>
          <w:rFonts w:ascii="仿宋" w:hAnsi="仿宋" w:eastAsia="仿宋"/>
          <w:sz w:val="32"/>
          <w:szCs w:val="32"/>
        </w:rPr>
        <w:t>6.1</w:t>
      </w:r>
      <w:r>
        <w:rPr>
          <w:rFonts w:hint="eastAsia" w:ascii="仿宋" w:hAnsi="仿宋" w:eastAsia="仿宋"/>
          <w:sz w:val="32"/>
          <w:szCs w:val="32"/>
        </w:rPr>
        <w:t>中，针对标准立项审查会上专家要求进一步明确原辅料范围（主要指主原料蛇鲻鱼的捕捞范围）的意见，濠江区鱼丸与餐饮协会向市水产行业协会发出协助函，请求协助确定捕捞区域。市水产行业协会积极协助调研，也已发回《关于濠江区蛇鲻鱼捕捞区域的复函》。复函明确“捕捞蛇鲻鱼的渔船通常是当日往返，捕捞海域距濠江渔港约20～60海里”，与原质检总局公告中对主原料区域的表述“产地临近海域捕捞的蛇鲻鱼”相符合。今年6月29日标准审查会上，专家组建议仍然按照原质检总局公告的表述，不必再另外说明。辅料在符合国家食品安全标准基础上，引用了原质检总局公告的表述。其中食盐根据具体情况，参照国家标准</w:t>
      </w:r>
      <w:r>
        <w:rPr>
          <w:rFonts w:ascii="仿宋" w:hAnsi="仿宋" w:eastAsia="仿宋"/>
          <w:sz w:val="32"/>
          <w:szCs w:val="32"/>
        </w:rPr>
        <w:t xml:space="preserve">GB/T 18356-2007 </w:t>
      </w:r>
      <w:r>
        <w:rPr>
          <w:rFonts w:hint="eastAsia" w:ascii="仿宋" w:hAnsi="仿宋" w:eastAsia="仿宋"/>
          <w:sz w:val="32"/>
          <w:szCs w:val="32"/>
        </w:rPr>
        <w:t>《地理标志产品贵州茅台酒》和广东省其他地理标志产品的地方标准，不再强调“产于保护范围内”。另外，采纳了汕头市卫生健康局（市疾病预防控制中心）、汕头市农业科学研究所和标准审查会专家组的建议，淀粉、鸭蛋清和水等辅料也删除了“产于保护范围内”的内容。</w:t>
      </w:r>
    </w:p>
    <w:p>
      <w:pPr>
        <w:snapToGrid w:val="0"/>
        <w:spacing w:line="336" w:lineRule="auto"/>
        <w:ind w:firstLine="640" w:firstLineChars="200"/>
        <w:rPr>
          <w:rFonts w:ascii="仿宋" w:hAnsi="仿宋" w:eastAsia="仿宋"/>
          <w:sz w:val="32"/>
          <w:szCs w:val="32"/>
        </w:rPr>
      </w:pPr>
      <w:r>
        <w:rPr>
          <w:rFonts w:hint="eastAsia" w:ascii="仿宋" w:hAnsi="仿宋" w:eastAsia="仿宋"/>
          <w:sz w:val="32"/>
          <w:szCs w:val="32"/>
        </w:rPr>
        <w:t>②在6.2中，在原质检总局公告基础上细化，特别是明确原辅料中鱼肉含量在75％以上。</w:t>
      </w:r>
    </w:p>
    <w:p>
      <w:pPr>
        <w:snapToGrid w:val="0"/>
        <w:spacing w:line="336" w:lineRule="auto"/>
        <w:ind w:firstLine="640" w:firstLineChars="200"/>
        <w:rPr>
          <w:rFonts w:ascii="仿宋" w:hAnsi="仿宋" w:eastAsia="仿宋"/>
          <w:sz w:val="32"/>
          <w:szCs w:val="32"/>
        </w:rPr>
      </w:pPr>
      <w:r>
        <w:rPr>
          <w:rFonts w:hint="eastAsia" w:ascii="仿宋" w:hAnsi="仿宋" w:eastAsia="仿宋"/>
          <w:sz w:val="32"/>
          <w:szCs w:val="32"/>
        </w:rPr>
        <w:t>③6.3的感官要求与原质检总局公告一致。</w:t>
      </w:r>
    </w:p>
    <w:p>
      <w:pPr>
        <w:snapToGrid w:val="0"/>
        <w:spacing w:line="336" w:lineRule="auto"/>
        <w:ind w:firstLine="640" w:firstLineChars="200"/>
        <w:rPr>
          <w:rFonts w:ascii="仿宋" w:hAnsi="仿宋" w:eastAsia="仿宋"/>
          <w:sz w:val="32"/>
          <w:szCs w:val="32"/>
        </w:rPr>
      </w:pPr>
      <w:r>
        <w:rPr>
          <w:rFonts w:hint="eastAsia" w:ascii="仿宋" w:hAnsi="仿宋" w:eastAsia="仿宋"/>
          <w:sz w:val="32"/>
          <w:szCs w:val="32"/>
        </w:rPr>
        <w:t>④6.4的理化指标与原质检总局公告一致。根据标准立项审查会上专家要求，对失水率指标加了说明，仅对冷冻产品有要求。</w:t>
      </w:r>
    </w:p>
    <w:p>
      <w:pPr>
        <w:snapToGrid w:val="0"/>
        <w:spacing w:line="336" w:lineRule="auto"/>
        <w:ind w:firstLine="640" w:firstLineChars="200"/>
        <w:rPr>
          <w:rFonts w:ascii="仿宋" w:hAnsi="仿宋" w:eastAsia="仿宋"/>
          <w:sz w:val="32"/>
          <w:szCs w:val="32"/>
        </w:rPr>
      </w:pPr>
      <w:r>
        <w:rPr>
          <w:rFonts w:hint="eastAsia" w:ascii="仿宋" w:hAnsi="仿宋" w:eastAsia="仿宋"/>
          <w:sz w:val="32"/>
          <w:szCs w:val="32"/>
        </w:rPr>
        <w:t>⑤6.5安全卫生指标在原质检总局公告基础上细化，明确应符合食品安全国家标准GB 10136 中预制动物性水产制品的规定。</w:t>
      </w:r>
    </w:p>
    <w:p>
      <w:pPr>
        <w:snapToGrid w:val="0"/>
        <w:spacing w:line="336" w:lineRule="auto"/>
        <w:ind w:firstLine="640" w:firstLineChars="200"/>
        <w:rPr>
          <w:rFonts w:ascii="仿宋" w:hAnsi="仿宋" w:eastAsia="仿宋"/>
          <w:sz w:val="32"/>
          <w:szCs w:val="32"/>
        </w:rPr>
      </w:pPr>
      <w:r>
        <w:rPr>
          <w:rFonts w:hint="eastAsia" w:ascii="仿宋" w:hAnsi="仿宋" w:eastAsia="仿宋"/>
          <w:sz w:val="32"/>
          <w:szCs w:val="32"/>
        </w:rPr>
        <w:t>⑥6.6净含量要求预包装食品应符合《定量包装商品计量监督管理办法》的规定。</w:t>
      </w:r>
    </w:p>
    <w:p>
      <w:pPr>
        <w:snapToGrid w:val="0"/>
        <w:spacing w:line="336" w:lineRule="auto"/>
        <w:ind w:firstLine="640" w:firstLineChars="200"/>
        <w:rPr>
          <w:rFonts w:ascii="仿宋" w:hAnsi="仿宋" w:eastAsia="仿宋"/>
          <w:sz w:val="32"/>
          <w:szCs w:val="32"/>
        </w:rPr>
      </w:pPr>
      <w:r>
        <w:rPr>
          <w:rFonts w:hint="eastAsia" w:ascii="仿宋" w:hAnsi="仿宋" w:eastAsia="仿宋"/>
          <w:sz w:val="32"/>
          <w:szCs w:val="32"/>
        </w:rPr>
        <w:t>7.生产加工过程中的卫生要求</w:t>
      </w:r>
    </w:p>
    <w:p>
      <w:pPr>
        <w:snapToGrid w:val="0"/>
        <w:spacing w:line="336" w:lineRule="auto"/>
        <w:ind w:firstLine="640" w:firstLineChars="200"/>
        <w:rPr>
          <w:rFonts w:ascii="仿宋" w:hAnsi="仿宋" w:eastAsia="仿宋"/>
          <w:sz w:val="32"/>
          <w:szCs w:val="32"/>
        </w:rPr>
      </w:pPr>
      <w:r>
        <w:rPr>
          <w:rFonts w:hint="eastAsia" w:ascii="仿宋" w:hAnsi="仿宋" w:eastAsia="仿宋"/>
          <w:sz w:val="32"/>
          <w:szCs w:val="32"/>
        </w:rPr>
        <w:t>①7.1规定生产加工过程应符合GB 20941-2016《食品安全国家标准 水产制品生产卫生规范》要求。</w:t>
      </w:r>
    </w:p>
    <w:p>
      <w:pPr>
        <w:snapToGrid w:val="0"/>
        <w:spacing w:line="336" w:lineRule="auto"/>
        <w:ind w:firstLine="640" w:firstLineChars="200"/>
        <w:rPr>
          <w:rFonts w:ascii="仿宋" w:hAnsi="仿宋" w:eastAsia="仿宋"/>
          <w:sz w:val="32"/>
          <w:szCs w:val="32"/>
        </w:rPr>
      </w:pPr>
      <w:r>
        <w:rPr>
          <w:rFonts w:hint="eastAsia" w:ascii="仿宋" w:hAnsi="仿宋" w:eastAsia="仿宋"/>
          <w:sz w:val="32"/>
          <w:szCs w:val="32"/>
        </w:rPr>
        <w:t>②7.2对生产前生产设备与设施的检查和清洗消毒做出规定，使用的洗涤剂应符合GB 14930.1-2015《食品安全国家标准 洗涤剂》，消毒剂应符合GB 14930.2-2012《食品安全国家标准 消毒剂》的要求，清洗后无残留。</w:t>
      </w:r>
    </w:p>
    <w:p>
      <w:pPr>
        <w:snapToGrid w:val="0"/>
        <w:spacing w:line="336" w:lineRule="auto"/>
        <w:ind w:firstLine="640" w:firstLineChars="200"/>
        <w:rPr>
          <w:rFonts w:ascii="仿宋" w:hAnsi="仿宋" w:eastAsia="仿宋"/>
          <w:sz w:val="32"/>
          <w:szCs w:val="32"/>
        </w:rPr>
      </w:pPr>
      <w:r>
        <w:rPr>
          <w:rFonts w:hint="eastAsia" w:ascii="仿宋" w:hAnsi="仿宋" w:eastAsia="仿宋"/>
          <w:sz w:val="32"/>
          <w:szCs w:val="32"/>
        </w:rPr>
        <w:t>8.检验方法</w:t>
      </w:r>
    </w:p>
    <w:p>
      <w:pPr>
        <w:snapToGrid w:val="0"/>
        <w:spacing w:line="336" w:lineRule="auto"/>
        <w:ind w:firstLine="640" w:firstLineChars="200"/>
        <w:rPr>
          <w:rFonts w:ascii="仿宋" w:hAnsi="仿宋" w:eastAsia="仿宋"/>
          <w:sz w:val="32"/>
          <w:szCs w:val="32"/>
        </w:rPr>
      </w:pPr>
      <w:r>
        <w:rPr>
          <w:rFonts w:hint="eastAsia" w:ascii="仿宋" w:hAnsi="仿宋" w:eastAsia="仿宋"/>
          <w:sz w:val="32"/>
          <w:szCs w:val="32"/>
        </w:rPr>
        <w:t>规定了感官和理化指标的检验方法。</w:t>
      </w:r>
    </w:p>
    <w:p>
      <w:pPr>
        <w:snapToGrid w:val="0"/>
        <w:spacing w:line="336" w:lineRule="auto"/>
        <w:ind w:firstLine="640" w:firstLineChars="200"/>
        <w:rPr>
          <w:rFonts w:ascii="仿宋" w:hAnsi="仿宋" w:eastAsia="仿宋"/>
          <w:sz w:val="32"/>
          <w:szCs w:val="32"/>
        </w:rPr>
      </w:pPr>
      <w:r>
        <w:rPr>
          <w:rFonts w:hint="eastAsia" w:ascii="仿宋" w:hAnsi="仿宋" w:eastAsia="仿宋"/>
          <w:sz w:val="32"/>
          <w:szCs w:val="32"/>
        </w:rPr>
        <w:t>9.检验规则</w:t>
      </w:r>
    </w:p>
    <w:p>
      <w:pPr>
        <w:snapToGrid w:val="0"/>
        <w:spacing w:line="336" w:lineRule="auto"/>
        <w:ind w:firstLine="640" w:firstLineChars="200"/>
        <w:rPr>
          <w:rFonts w:ascii="仿宋" w:hAnsi="仿宋" w:eastAsia="仿宋"/>
          <w:sz w:val="32"/>
          <w:szCs w:val="32"/>
        </w:rPr>
      </w:pPr>
      <w:r>
        <w:rPr>
          <w:rFonts w:hint="eastAsia" w:ascii="仿宋" w:hAnsi="仿宋" w:eastAsia="仿宋"/>
          <w:sz w:val="32"/>
          <w:szCs w:val="32"/>
        </w:rPr>
        <w:t>参照行业标准SB/T</w:t>
      </w:r>
      <w:r>
        <w:rPr>
          <w:rFonts w:hint="eastAsia" w:ascii="宋体" w:hAnsi="宋体" w:cs="宋体"/>
          <w:sz w:val="32"/>
          <w:szCs w:val="32"/>
        </w:rPr>
        <w:t> </w:t>
      </w:r>
      <w:r>
        <w:rPr>
          <w:rFonts w:hint="eastAsia" w:ascii="仿宋" w:hAnsi="仿宋" w:eastAsia="仿宋"/>
          <w:sz w:val="32"/>
          <w:szCs w:val="32"/>
        </w:rPr>
        <w:t>10610-2011《肉丸》内容，同时采纳汕头市卫生健康局（市疾病预防控制中心）的建议进行精简。</w:t>
      </w:r>
    </w:p>
    <w:p>
      <w:pPr>
        <w:snapToGrid w:val="0"/>
        <w:spacing w:line="336" w:lineRule="auto"/>
        <w:ind w:firstLine="640" w:firstLineChars="200"/>
        <w:rPr>
          <w:rFonts w:ascii="仿宋" w:hAnsi="仿宋" w:eastAsia="仿宋"/>
          <w:sz w:val="32"/>
          <w:szCs w:val="32"/>
        </w:rPr>
      </w:pPr>
      <w:r>
        <w:rPr>
          <w:rFonts w:hint="eastAsia" w:ascii="仿宋" w:hAnsi="仿宋" w:eastAsia="仿宋"/>
          <w:sz w:val="32"/>
          <w:szCs w:val="32"/>
        </w:rPr>
        <w:t>10.标签、标志、包装、运输、贮存</w:t>
      </w:r>
    </w:p>
    <w:p>
      <w:pPr>
        <w:snapToGrid w:val="0"/>
        <w:spacing w:line="336" w:lineRule="auto"/>
        <w:ind w:firstLine="640" w:firstLineChars="200"/>
        <w:rPr>
          <w:rFonts w:ascii="仿宋" w:hAnsi="仿宋" w:eastAsia="仿宋"/>
          <w:sz w:val="32"/>
          <w:szCs w:val="32"/>
        </w:rPr>
      </w:pPr>
      <w:r>
        <w:rPr>
          <w:rFonts w:hint="eastAsia" w:ascii="仿宋" w:hAnsi="仿宋" w:eastAsia="仿宋"/>
          <w:sz w:val="32"/>
          <w:szCs w:val="32"/>
        </w:rPr>
        <w:t>规定了产品的标签、标志、包装、运输、贮存。</w:t>
      </w:r>
    </w:p>
    <w:p>
      <w:pPr>
        <w:snapToGrid w:val="0"/>
        <w:spacing w:line="336" w:lineRule="auto"/>
        <w:ind w:firstLine="640" w:firstLineChars="200"/>
        <w:rPr>
          <w:rFonts w:ascii="仿宋" w:hAnsi="仿宋" w:eastAsia="仿宋"/>
          <w:sz w:val="32"/>
          <w:szCs w:val="32"/>
        </w:rPr>
      </w:pPr>
      <w:r>
        <w:rPr>
          <w:rFonts w:hint="eastAsia" w:ascii="仿宋" w:hAnsi="仿宋" w:eastAsia="仿宋"/>
          <w:sz w:val="32"/>
          <w:szCs w:val="32"/>
        </w:rPr>
        <w:t>附录A采纳了汕头市自然资源局的建议，将图A.1达濠鱼丸地理标志产品保护范围图的原图审图号及本地图来源一并附上，确保了地图的完整性。</w:t>
      </w:r>
    </w:p>
    <w:p>
      <w:pPr>
        <w:snapToGrid w:val="0"/>
        <w:spacing w:before="156" w:beforeLines="50" w:after="156" w:afterLines="50" w:line="336" w:lineRule="auto"/>
        <w:rPr>
          <w:rFonts w:ascii="黑体" w:hAnsi="黑体" w:eastAsia="黑体"/>
          <w:sz w:val="32"/>
          <w:szCs w:val="32"/>
        </w:rPr>
      </w:pPr>
      <w:r>
        <w:rPr>
          <w:rFonts w:hint="eastAsia" w:ascii="黑体" w:hAnsi="黑体" w:eastAsia="黑体"/>
          <w:sz w:val="32"/>
          <w:szCs w:val="32"/>
          <w:lang w:val="en-US" w:eastAsia="zh-CN"/>
        </w:rPr>
        <w:t xml:space="preserve">    </w:t>
      </w:r>
      <w:r>
        <w:rPr>
          <w:rFonts w:ascii="黑体" w:hAnsi="黑体" w:eastAsia="黑体"/>
          <w:sz w:val="32"/>
          <w:szCs w:val="32"/>
        </w:rPr>
        <w:t>五、与现行法律法规、强制性标准</w:t>
      </w:r>
      <w:r>
        <w:rPr>
          <w:rFonts w:hint="eastAsia" w:ascii="黑体" w:hAnsi="黑体" w:eastAsia="黑体"/>
          <w:sz w:val="32"/>
          <w:szCs w:val="32"/>
        </w:rPr>
        <w:t>、行业标准、广东省地方标准的</w:t>
      </w:r>
      <w:r>
        <w:rPr>
          <w:rFonts w:ascii="黑体" w:hAnsi="黑体" w:eastAsia="黑体"/>
          <w:sz w:val="32"/>
          <w:szCs w:val="32"/>
        </w:rPr>
        <w:t>关系</w:t>
      </w:r>
    </w:p>
    <w:p>
      <w:pPr>
        <w:snapToGrid w:val="0"/>
        <w:spacing w:line="336" w:lineRule="auto"/>
        <w:ind w:firstLine="640" w:firstLineChars="200"/>
        <w:rPr>
          <w:rFonts w:ascii="仿宋" w:hAnsi="仿宋" w:eastAsia="仿宋"/>
          <w:sz w:val="32"/>
          <w:szCs w:val="32"/>
        </w:rPr>
      </w:pPr>
      <w:r>
        <w:rPr>
          <w:rFonts w:hint="eastAsia" w:ascii="仿宋" w:hAnsi="仿宋" w:eastAsia="仿宋"/>
          <w:sz w:val="32"/>
          <w:szCs w:val="32"/>
        </w:rPr>
        <w:t>本标准符合国家相关法律、法规、规章及相关标准。</w:t>
      </w:r>
    </w:p>
    <w:p>
      <w:pPr>
        <w:snapToGrid w:val="0"/>
        <w:spacing w:before="156" w:beforeLines="50" w:after="156" w:afterLines="50" w:line="336" w:lineRule="auto"/>
        <w:rPr>
          <w:rFonts w:ascii="宋体" w:hAnsi="宋体"/>
          <w:sz w:val="32"/>
          <w:szCs w:val="32"/>
        </w:rPr>
      </w:pPr>
      <w:r>
        <w:rPr>
          <w:rFonts w:hint="eastAsia" w:ascii="黑体" w:hAnsi="黑体" w:eastAsia="黑体"/>
          <w:sz w:val="32"/>
          <w:szCs w:val="32"/>
          <w:lang w:val="en-US" w:eastAsia="zh-CN"/>
        </w:rPr>
        <w:t xml:space="preserve">    </w:t>
      </w:r>
      <w:r>
        <w:rPr>
          <w:rFonts w:hint="eastAsia" w:ascii="黑体" w:hAnsi="黑体" w:eastAsia="黑体"/>
          <w:sz w:val="32"/>
          <w:szCs w:val="32"/>
        </w:rPr>
        <w:t>六</w:t>
      </w:r>
      <w:r>
        <w:rPr>
          <w:rFonts w:ascii="黑体" w:hAnsi="黑体" w:eastAsia="黑体"/>
          <w:sz w:val="32"/>
          <w:szCs w:val="32"/>
        </w:rPr>
        <w:t>、</w:t>
      </w:r>
      <w:r>
        <w:rPr>
          <w:rFonts w:hint="eastAsia" w:ascii="黑体" w:hAnsi="黑体" w:eastAsia="黑体"/>
          <w:sz w:val="32"/>
          <w:szCs w:val="32"/>
        </w:rPr>
        <w:t>重大分歧意见的处理经过、结果和依据</w:t>
      </w:r>
    </w:p>
    <w:p>
      <w:pPr>
        <w:snapToGrid w:val="0"/>
        <w:spacing w:line="336" w:lineRule="auto"/>
        <w:ind w:firstLine="640" w:firstLineChars="200"/>
        <w:rPr>
          <w:rFonts w:ascii="仿宋" w:hAnsi="仿宋" w:eastAsia="仿宋"/>
          <w:sz w:val="32"/>
          <w:szCs w:val="32"/>
        </w:rPr>
      </w:pPr>
      <w:r>
        <w:rPr>
          <w:rFonts w:hint="eastAsia" w:ascii="仿宋" w:hAnsi="仿宋" w:eastAsia="仿宋"/>
          <w:sz w:val="32"/>
          <w:szCs w:val="32"/>
        </w:rPr>
        <w:t>本标准在起草过程中无重大意见分歧。</w:t>
      </w:r>
    </w:p>
    <w:p>
      <w:pPr>
        <w:snapToGrid w:val="0"/>
        <w:spacing w:before="156" w:beforeLines="50" w:after="156" w:afterLines="50" w:line="336" w:lineRule="auto"/>
        <w:rPr>
          <w:rFonts w:ascii="黑体" w:hAnsi="黑体" w:eastAsia="黑体"/>
          <w:sz w:val="32"/>
          <w:szCs w:val="32"/>
        </w:rPr>
      </w:pPr>
      <w:r>
        <w:rPr>
          <w:rFonts w:hint="eastAsia" w:ascii="黑体" w:hAnsi="黑体" w:eastAsia="黑体"/>
          <w:sz w:val="32"/>
          <w:szCs w:val="32"/>
          <w:lang w:val="en-US" w:eastAsia="zh-CN"/>
        </w:rPr>
        <w:t xml:space="preserve">    </w:t>
      </w:r>
      <w:r>
        <w:rPr>
          <w:rFonts w:hint="eastAsia" w:ascii="黑体" w:hAnsi="黑体" w:eastAsia="黑体"/>
          <w:sz w:val="32"/>
          <w:szCs w:val="32"/>
        </w:rPr>
        <w:t>七</w:t>
      </w:r>
      <w:r>
        <w:rPr>
          <w:rFonts w:ascii="黑体" w:hAnsi="黑体" w:eastAsia="黑体"/>
          <w:sz w:val="32"/>
          <w:szCs w:val="32"/>
        </w:rPr>
        <w:t>、贯彻标准的要求</w:t>
      </w:r>
      <w:r>
        <w:rPr>
          <w:rFonts w:hint="eastAsia" w:ascii="黑体" w:hAnsi="黑体" w:eastAsia="黑体"/>
          <w:sz w:val="32"/>
          <w:szCs w:val="32"/>
        </w:rPr>
        <w:t>和</w:t>
      </w:r>
      <w:r>
        <w:rPr>
          <w:rFonts w:ascii="黑体" w:hAnsi="黑体" w:eastAsia="黑体"/>
          <w:sz w:val="32"/>
          <w:szCs w:val="32"/>
        </w:rPr>
        <w:t>措施建议。</w:t>
      </w:r>
    </w:p>
    <w:p>
      <w:pPr>
        <w:snapToGrid w:val="0"/>
        <w:spacing w:line="336" w:lineRule="auto"/>
        <w:ind w:firstLine="640" w:firstLineChars="200"/>
        <w:rPr>
          <w:rFonts w:ascii="仿宋" w:hAnsi="仿宋" w:eastAsia="仿宋"/>
          <w:sz w:val="32"/>
          <w:szCs w:val="32"/>
        </w:rPr>
      </w:pPr>
      <w:r>
        <w:rPr>
          <w:rFonts w:hint="eastAsia" w:ascii="仿宋" w:hAnsi="仿宋" w:eastAsia="仿宋"/>
          <w:sz w:val="32"/>
          <w:szCs w:val="32"/>
        </w:rPr>
        <w:t>本标准实施后，标准起草单位联合标准化技术机构对本标准进行宣贯；利用各种宣传媒体，使相关企业尽快熟悉、了解、掌握和应用本标准，</w:t>
      </w:r>
      <w:r>
        <w:rPr>
          <w:rFonts w:ascii="仿宋" w:hAnsi="仿宋" w:eastAsia="仿宋"/>
          <w:sz w:val="32"/>
          <w:szCs w:val="32"/>
        </w:rPr>
        <w:t>让该标准真正具有生命力</w:t>
      </w:r>
      <w:r>
        <w:rPr>
          <w:rFonts w:hint="eastAsia" w:ascii="仿宋" w:hAnsi="仿宋" w:eastAsia="仿宋"/>
          <w:sz w:val="32"/>
          <w:szCs w:val="32"/>
        </w:rPr>
        <w:t>。</w:t>
      </w:r>
    </w:p>
    <w:p>
      <w:pPr>
        <w:snapToGrid w:val="0"/>
        <w:spacing w:before="156" w:beforeLines="50" w:after="156" w:afterLines="50" w:line="336" w:lineRule="auto"/>
        <w:rPr>
          <w:rFonts w:ascii="宋体" w:hAnsi="宋体" w:cs="宋体"/>
          <w:sz w:val="32"/>
          <w:szCs w:val="32"/>
        </w:rPr>
      </w:pPr>
      <w:r>
        <w:rPr>
          <w:rFonts w:hint="eastAsia" w:ascii="黑体" w:hAnsi="黑体" w:eastAsia="黑体"/>
          <w:sz w:val="32"/>
          <w:szCs w:val="32"/>
          <w:lang w:val="en-US" w:eastAsia="zh-CN"/>
        </w:rPr>
        <w:t xml:space="preserve">    </w:t>
      </w:r>
      <w:bookmarkStart w:id="0" w:name="_GoBack"/>
      <w:bookmarkEnd w:id="0"/>
      <w:r>
        <w:rPr>
          <w:rFonts w:hint="eastAsia" w:ascii="黑体" w:hAnsi="黑体" w:eastAsia="黑体"/>
          <w:sz w:val="32"/>
          <w:szCs w:val="32"/>
        </w:rPr>
        <w:t>八</w:t>
      </w:r>
      <w:r>
        <w:rPr>
          <w:rFonts w:ascii="黑体" w:hAnsi="黑体" w:eastAsia="黑体"/>
          <w:sz w:val="32"/>
          <w:szCs w:val="32"/>
        </w:rPr>
        <w:t>、</w:t>
      </w:r>
      <w:r>
        <w:rPr>
          <w:rFonts w:hint="eastAsia" w:ascii="黑体" w:hAnsi="黑体" w:eastAsia="黑体"/>
          <w:sz w:val="32"/>
          <w:szCs w:val="32"/>
        </w:rPr>
        <w:t>其他应予说明的事项</w:t>
      </w:r>
    </w:p>
    <w:p>
      <w:pPr>
        <w:snapToGrid w:val="0"/>
        <w:spacing w:line="336" w:lineRule="auto"/>
        <w:ind w:firstLine="640" w:firstLineChars="200"/>
        <w:rPr>
          <w:rFonts w:ascii="仿宋" w:hAnsi="仿宋" w:eastAsia="仿宋"/>
          <w:sz w:val="32"/>
          <w:szCs w:val="32"/>
        </w:rPr>
      </w:pPr>
      <w:r>
        <w:rPr>
          <w:rFonts w:hint="eastAsia" w:ascii="仿宋" w:hAnsi="仿宋" w:eastAsia="仿宋"/>
          <w:sz w:val="32"/>
          <w:szCs w:val="32"/>
        </w:rPr>
        <w:t>无。</w:t>
      </w:r>
    </w:p>
    <w:p>
      <w:pPr>
        <w:snapToGrid w:val="0"/>
        <w:spacing w:line="336" w:lineRule="auto"/>
        <w:ind w:firstLine="1600" w:firstLineChars="500"/>
        <w:rPr>
          <w:rFonts w:ascii="宋体" w:hAnsi="宋体" w:cs="宋体"/>
          <w:sz w:val="32"/>
          <w:szCs w:val="32"/>
        </w:rPr>
      </w:pPr>
    </w:p>
    <w:p>
      <w:pPr>
        <w:snapToGrid w:val="0"/>
        <w:spacing w:line="336" w:lineRule="auto"/>
        <w:ind w:firstLine="1600" w:firstLineChars="500"/>
        <w:rPr>
          <w:rFonts w:ascii="宋体" w:hAnsi="宋体" w:cs="宋体"/>
          <w:sz w:val="32"/>
          <w:szCs w:val="32"/>
        </w:rPr>
      </w:pPr>
    </w:p>
    <w:p>
      <w:pPr>
        <w:snapToGrid w:val="0"/>
        <w:spacing w:line="336" w:lineRule="auto"/>
        <w:ind w:firstLine="2125" w:firstLineChars="664"/>
        <w:jc w:val="center"/>
        <w:rPr>
          <w:rFonts w:ascii="仿宋" w:hAnsi="仿宋" w:eastAsia="仿宋" w:cs="宋体"/>
          <w:sz w:val="32"/>
          <w:szCs w:val="32"/>
        </w:rPr>
      </w:pPr>
      <w:r>
        <w:rPr>
          <w:rFonts w:ascii="仿宋" w:hAnsi="仿宋" w:eastAsia="仿宋" w:cs="宋体"/>
          <w:sz w:val="32"/>
          <w:szCs w:val="32"/>
        </w:rPr>
        <w:t>《</w:t>
      </w:r>
      <w:r>
        <w:rPr>
          <w:rFonts w:hint="eastAsia" w:ascii="仿宋" w:hAnsi="仿宋" w:eastAsia="仿宋" w:cs="宋体"/>
          <w:sz w:val="32"/>
          <w:szCs w:val="32"/>
        </w:rPr>
        <w:t>地理标志产品 达濠鱼丸</w:t>
      </w:r>
      <w:r>
        <w:rPr>
          <w:rFonts w:ascii="仿宋" w:hAnsi="仿宋" w:eastAsia="仿宋" w:cs="宋体"/>
          <w:sz w:val="32"/>
          <w:szCs w:val="32"/>
        </w:rPr>
        <w:t>》</w:t>
      </w:r>
    </w:p>
    <w:p>
      <w:pPr>
        <w:snapToGrid w:val="0"/>
        <w:spacing w:line="336" w:lineRule="auto"/>
        <w:ind w:firstLine="2125" w:firstLineChars="664"/>
        <w:jc w:val="center"/>
        <w:rPr>
          <w:rFonts w:ascii="仿宋" w:hAnsi="仿宋" w:eastAsia="仿宋" w:cs="宋体"/>
          <w:sz w:val="32"/>
          <w:szCs w:val="32"/>
        </w:rPr>
      </w:pPr>
      <w:r>
        <w:rPr>
          <w:rFonts w:hint="eastAsia" w:ascii="仿宋" w:hAnsi="仿宋" w:eastAsia="仿宋" w:cs="宋体"/>
          <w:sz w:val="32"/>
          <w:szCs w:val="32"/>
        </w:rPr>
        <w:t>标准制定工作组</w:t>
      </w:r>
    </w:p>
    <w:p>
      <w:pPr>
        <w:snapToGrid w:val="0"/>
        <w:spacing w:line="336" w:lineRule="auto"/>
        <w:ind w:firstLine="2125" w:firstLineChars="664"/>
        <w:jc w:val="center"/>
        <w:rPr>
          <w:rFonts w:ascii="仿宋" w:hAnsi="仿宋" w:eastAsia="仿宋" w:cs="宋体"/>
          <w:sz w:val="32"/>
          <w:szCs w:val="32"/>
        </w:rPr>
      </w:pPr>
      <w:r>
        <w:rPr>
          <w:rFonts w:ascii="仿宋" w:hAnsi="仿宋" w:eastAsia="仿宋" w:cs="宋体"/>
          <w:sz w:val="32"/>
          <w:szCs w:val="32"/>
        </w:rPr>
        <w:t>2022年</w:t>
      </w:r>
      <w:r>
        <w:rPr>
          <w:rFonts w:hint="eastAsia" w:ascii="仿宋" w:hAnsi="仿宋" w:eastAsia="仿宋" w:cs="宋体"/>
          <w:sz w:val="32"/>
          <w:szCs w:val="32"/>
        </w:rPr>
        <w:t>9</w:t>
      </w:r>
      <w:r>
        <w:rPr>
          <w:rFonts w:ascii="仿宋" w:hAnsi="仿宋" w:eastAsia="仿宋" w:cs="宋体"/>
          <w:sz w:val="32"/>
          <w:szCs w:val="32"/>
        </w:rPr>
        <w:t>月</w:t>
      </w:r>
      <w:r>
        <w:rPr>
          <w:rFonts w:hint="eastAsia" w:ascii="仿宋" w:hAnsi="仿宋" w:eastAsia="仿宋" w:cs="宋体"/>
          <w:sz w:val="32"/>
          <w:szCs w:val="32"/>
        </w:rPr>
        <w:t>2</w:t>
      </w:r>
      <w:r>
        <w:rPr>
          <w:rFonts w:ascii="仿宋" w:hAnsi="仿宋" w:eastAsia="仿宋" w:cs="宋体"/>
          <w:sz w:val="32"/>
          <w:szCs w:val="32"/>
        </w:rPr>
        <w:t>日</w:t>
      </w:r>
    </w:p>
    <w:p>
      <w:pPr>
        <w:snapToGrid w:val="0"/>
        <w:spacing w:line="360" w:lineRule="auto"/>
        <w:jc w:val="left"/>
        <w:rPr>
          <w:rFonts w:ascii="仿宋" w:hAnsi="仿宋" w:eastAsia="仿宋"/>
          <w:color w:val="FF0000"/>
        </w:rPr>
      </w:pPr>
    </w:p>
    <w:sectPr>
      <w:footerReference r:id="rId4" w:type="default"/>
      <w:pgSz w:w="11906" w:h="16838"/>
      <w:pgMar w:top="1418" w:right="1418" w:bottom="1418" w:left="1418" w:header="851" w:footer="992" w:gutter="0"/>
      <w:pgNumType w:fmt="numberInDash"/>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auto"/>
    <w:pitch w:val="default"/>
    <w:sig w:usb0="E00002FF" w:usb1="4000ACFF" w:usb2="00000001" w:usb3="00000000" w:csb0="2000019F" w:csb1="00000000"/>
  </w:font>
  <w:font w:name="方正小标宋简体">
    <w:panose1 w:val="03000509000000000000"/>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3"/>
      <w:jc w:val="center"/>
    </w:pPr>
    <w:r>
      <w:fldChar w:fldCharType="begin"/>
    </w:r>
    <w:r>
      <w:instrText xml:space="preserve">PAGE   \* MERGEFORMAT</w:instrText>
    </w:r>
    <w:r>
      <w:fldChar w:fldCharType="separate"/>
    </w:r>
    <w:r>
      <w:rPr>
        <w:lang w:val="zh-CN"/>
      </w:rPr>
      <w:t>-</w:t>
    </w:r>
    <w:r>
      <w:t xml:space="preserve"> 3 -</w:t>
    </w:r>
    <w:r>
      <w:fldChar w:fldCharType="end"/>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
  <w:rsids>
    <w:rsidRoot w:val="00FE0420"/>
    <w:rsid w:val="000039A2"/>
    <w:rsid w:val="00004A87"/>
    <w:rsid w:val="00007059"/>
    <w:rsid w:val="000668FA"/>
    <w:rsid w:val="00071419"/>
    <w:rsid w:val="000A1390"/>
    <w:rsid w:val="000B5066"/>
    <w:rsid w:val="000E1986"/>
    <w:rsid w:val="000F0E2D"/>
    <w:rsid w:val="000F3B16"/>
    <w:rsid w:val="000F55BC"/>
    <w:rsid w:val="0011044E"/>
    <w:rsid w:val="0011503C"/>
    <w:rsid w:val="00117642"/>
    <w:rsid w:val="0013651F"/>
    <w:rsid w:val="001D6381"/>
    <w:rsid w:val="001F2B90"/>
    <w:rsid w:val="0020386C"/>
    <w:rsid w:val="002169CF"/>
    <w:rsid w:val="00217BBF"/>
    <w:rsid w:val="00226E60"/>
    <w:rsid w:val="0023712E"/>
    <w:rsid w:val="0027211E"/>
    <w:rsid w:val="002808A1"/>
    <w:rsid w:val="0029305B"/>
    <w:rsid w:val="0029517D"/>
    <w:rsid w:val="002E0225"/>
    <w:rsid w:val="002F03C3"/>
    <w:rsid w:val="002F09BF"/>
    <w:rsid w:val="00303F3A"/>
    <w:rsid w:val="00324A9A"/>
    <w:rsid w:val="00361A71"/>
    <w:rsid w:val="003A7A04"/>
    <w:rsid w:val="003B38F2"/>
    <w:rsid w:val="003C68E9"/>
    <w:rsid w:val="003E0FB5"/>
    <w:rsid w:val="003F6C3E"/>
    <w:rsid w:val="003F7F7F"/>
    <w:rsid w:val="0041618B"/>
    <w:rsid w:val="00432B89"/>
    <w:rsid w:val="004427EA"/>
    <w:rsid w:val="0046730C"/>
    <w:rsid w:val="00486136"/>
    <w:rsid w:val="00494840"/>
    <w:rsid w:val="004C1D4B"/>
    <w:rsid w:val="004C7864"/>
    <w:rsid w:val="004F216F"/>
    <w:rsid w:val="004F2F89"/>
    <w:rsid w:val="004F48ED"/>
    <w:rsid w:val="005074BB"/>
    <w:rsid w:val="00521A1A"/>
    <w:rsid w:val="00542CD9"/>
    <w:rsid w:val="005570B0"/>
    <w:rsid w:val="0059585C"/>
    <w:rsid w:val="00596F16"/>
    <w:rsid w:val="006030F4"/>
    <w:rsid w:val="00637C6C"/>
    <w:rsid w:val="006A1C18"/>
    <w:rsid w:val="006D2DA5"/>
    <w:rsid w:val="006E12A5"/>
    <w:rsid w:val="006E3B0E"/>
    <w:rsid w:val="006F4BCC"/>
    <w:rsid w:val="0072058D"/>
    <w:rsid w:val="00752364"/>
    <w:rsid w:val="00792A79"/>
    <w:rsid w:val="007B1F3A"/>
    <w:rsid w:val="007B3090"/>
    <w:rsid w:val="007F68C4"/>
    <w:rsid w:val="007F7747"/>
    <w:rsid w:val="0081092A"/>
    <w:rsid w:val="00823284"/>
    <w:rsid w:val="0087350D"/>
    <w:rsid w:val="00880D02"/>
    <w:rsid w:val="008A3358"/>
    <w:rsid w:val="008A67C9"/>
    <w:rsid w:val="008D5DDF"/>
    <w:rsid w:val="008E6D64"/>
    <w:rsid w:val="00907302"/>
    <w:rsid w:val="00913A61"/>
    <w:rsid w:val="0092162B"/>
    <w:rsid w:val="0096271A"/>
    <w:rsid w:val="00962AEB"/>
    <w:rsid w:val="009A1890"/>
    <w:rsid w:val="009A497D"/>
    <w:rsid w:val="009A6AC9"/>
    <w:rsid w:val="009F6B1E"/>
    <w:rsid w:val="00A20A2B"/>
    <w:rsid w:val="00A66109"/>
    <w:rsid w:val="00A7233F"/>
    <w:rsid w:val="00A7344D"/>
    <w:rsid w:val="00A86647"/>
    <w:rsid w:val="00A91FB3"/>
    <w:rsid w:val="00B53E6B"/>
    <w:rsid w:val="00B5690D"/>
    <w:rsid w:val="00B60C3A"/>
    <w:rsid w:val="00BB0DA0"/>
    <w:rsid w:val="00BC661A"/>
    <w:rsid w:val="00BE241C"/>
    <w:rsid w:val="00C046FF"/>
    <w:rsid w:val="00C22E52"/>
    <w:rsid w:val="00C64D36"/>
    <w:rsid w:val="00CA03E7"/>
    <w:rsid w:val="00CD36C0"/>
    <w:rsid w:val="00CD5DE3"/>
    <w:rsid w:val="00D11A27"/>
    <w:rsid w:val="00D35096"/>
    <w:rsid w:val="00D6734C"/>
    <w:rsid w:val="00D70F53"/>
    <w:rsid w:val="00D957A2"/>
    <w:rsid w:val="00DA5E09"/>
    <w:rsid w:val="00DA6C85"/>
    <w:rsid w:val="00DB3E6D"/>
    <w:rsid w:val="00DE6668"/>
    <w:rsid w:val="00DE7329"/>
    <w:rsid w:val="00E1070F"/>
    <w:rsid w:val="00E50D52"/>
    <w:rsid w:val="00E63644"/>
    <w:rsid w:val="00E95B79"/>
    <w:rsid w:val="00EB2BD5"/>
    <w:rsid w:val="00EB4B35"/>
    <w:rsid w:val="00EC6953"/>
    <w:rsid w:val="00EC7C75"/>
    <w:rsid w:val="00ED156C"/>
    <w:rsid w:val="00F01797"/>
    <w:rsid w:val="00F444E6"/>
    <w:rsid w:val="00F75542"/>
    <w:rsid w:val="00F75DC0"/>
    <w:rsid w:val="00FC232F"/>
    <w:rsid w:val="00FD3F39"/>
    <w:rsid w:val="00FE0420"/>
    <w:rsid w:val="03240E18"/>
    <w:rsid w:val="0B1B4C0B"/>
    <w:rsid w:val="373D723B"/>
  </w:rsids>
  <w:shapeDefaults>
    <o:shapedefaults fillcolor="#9CBEE0" fill="t" stroke="t">
      <v:fill type="gradient" on="t" color2="#BBD5F0" focus="0%" focussize="0f,0f" focusposition="0f,0f">
        <o:fill type="gradientUnscaled" v:ext="backwardCompatible"/>
      </v:fill>
      <v:stroke weight="1.25pt" color="#739CC3" color2="#FFFFFF" miterlimit="2"/>
    </o:shapedefaults>
  </w:shapeDefaults>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lang w:val="en-US" w:eastAsia="zh-CN" w:bidi="ar-SA"/>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Normal Indent"/>
    <w:lsdException w:uiPriority="0" w:name="footnote text"/>
    <w:lsdException w:uiPriority="0" w:name="annotation text"/>
    <w:lsdException w:uiPriority="99" w:semiHidden="0" w:name="header"/>
    <w:lsdException w:uiPriority="99" w:semiHidden="0" w:name="footer"/>
    <w:lsdException w:uiPriority="0" w:name="index heading"/>
    <w:lsdException w:qFormat="1" w:uiPriority="35"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22" w:semiHidden="0" w:name="Strong"/>
    <w:lsdException w:qFormat="1" w:unhideWhenUsed="0" w:uiPriority="2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99" w:name="Balloon Text"/>
    <w:lsdException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5">
    <w:name w:val="Default Paragraph Font"/>
    <w:unhideWhenUsed/>
    <w:uiPriority w:val="1"/>
  </w:style>
  <w:style w:type="table" w:default="1" w:styleId="7">
    <w:name w:val="Normal Table"/>
    <w:unhideWhenUsed/>
    <w:uiPriority w:val="99"/>
    <w:tblPr>
      <w:tblStyle w:val="7"/>
      <w:tblLayout w:type="fixed"/>
      <w:tblCellMar>
        <w:top w:w="0" w:type="dxa"/>
        <w:left w:w="108" w:type="dxa"/>
        <w:bottom w:w="0" w:type="dxa"/>
        <w:right w:w="108" w:type="dxa"/>
      </w:tblCellMar>
    </w:tblPr>
    <w:tcPr>
      <w:textDirection w:val="lrTb"/>
    </w:tcPr>
  </w:style>
  <w:style w:type="paragraph" w:styleId="2">
    <w:name w:val="Balloon Text"/>
    <w:basedOn w:val="1"/>
    <w:link w:val="11"/>
    <w:unhideWhenUsed/>
    <w:uiPriority w:val="99"/>
    <w:rPr>
      <w:sz w:val="18"/>
      <w:szCs w:val="18"/>
    </w:rPr>
  </w:style>
  <w:style w:type="paragraph" w:styleId="3">
    <w:name w:val="footer"/>
    <w:basedOn w:val="1"/>
    <w:link w:val="10"/>
    <w:unhideWhenUsed/>
    <w:uiPriority w:val="99"/>
    <w:pPr>
      <w:tabs>
        <w:tab w:val="center" w:pos="4153"/>
        <w:tab w:val="right" w:pos="8306"/>
      </w:tabs>
      <w:snapToGrid w:val="0"/>
      <w:jc w:val="left"/>
    </w:pPr>
    <w:rPr>
      <w:rFonts w:ascii="Calibri" w:hAnsi="Calibri" w:eastAsia="宋体" w:cs="黑体"/>
      <w:sz w:val="18"/>
      <w:szCs w:val="18"/>
    </w:rPr>
  </w:style>
  <w:style w:type="paragraph" w:styleId="4">
    <w:name w:val="header"/>
    <w:basedOn w:val="1"/>
    <w:link w:val="9"/>
    <w:unhideWhenUsed/>
    <w:uiPriority w:val="99"/>
    <w:pPr>
      <w:pBdr>
        <w:bottom w:val="single" w:color="auto" w:sz="6" w:space="1"/>
      </w:pBdr>
      <w:tabs>
        <w:tab w:val="center" w:pos="4153"/>
        <w:tab w:val="right" w:pos="8306"/>
      </w:tabs>
      <w:snapToGrid w:val="0"/>
      <w:jc w:val="center"/>
    </w:pPr>
    <w:rPr>
      <w:rFonts w:ascii="Calibri" w:hAnsi="Calibri" w:eastAsia="宋体" w:cs="黑体"/>
      <w:sz w:val="18"/>
      <w:szCs w:val="18"/>
    </w:rPr>
  </w:style>
  <w:style w:type="character" w:styleId="6">
    <w:name w:val="Emphasis"/>
    <w:basedOn w:val="5"/>
    <w:qFormat/>
    <w:uiPriority w:val="20"/>
    <w:rPr>
      <w:i/>
      <w:iCs/>
    </w:rPr>
  </w:style>
  <w:style w:type="paragraph" w:customStyle="1" w:styleId="8">
    <w:name w:val="List Paragraph"/>
    <w:basedOn w:val="1"/>
    <w:qFormat/>
    <w:uiPriority w:val="99"/>
    <w:pPr>
      <w:ind w:firstLine="420" w:firstLineChars="200"/>
    </w:pPr>
  </w:style>
  <w:style w:type="character" w:customStyle="1" w:styleId="9">
    <w:name w:val="页眉 Char"/>
    <w:basedOn w:val="5"/>
    <w:link w:val="4"/>
    <w:uiPriority w:val="99"/>
    <w:rPr>
      <w:sz w:val="18"/>
      <w:szCs w:val="18"/>
    </w:rPr>
  </w:style>
  <w:style w:type="character" w:customStyle="1" w:styleId="10">
    <w:name w:val="页脚 Char"/>
    <w:basedOn w:val="5"/>
    <w:link w:val="3"/>
    <w:uiPriority w:val="99"/>
    <w:rPr>
      <w:sz w:val="18"/>
      <w:szCs w:val="18"/>
    </w:rPr>
  </w:style>
  <w:style w:type="character" w:customStyle="1" w:styleId="11">
    <w:name w:val="批注框文本 Char"/>
    <w:basedOn w:val="5"/>
    <w:link w:val="2"/>
    <w:semiHidden/>
    <w:uiPriority w:val="99"/>
    <w:rPr>
      <w:rFonts w:ascii="Calibri" w:hAnsi="Calibri" w:eastAsia="宋体" w:cs="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中国微软</Company>
  <Pages>8</Pages>
  <Words>596</Words>
  <Characters>3401</Characters>
  <Lines>28</Lines>
  <Paragraphs>7</Paragraphs>
  <TotalTime>0</TotalTime>
  <ScaleCrop>false</ScaleCrop>
  <LinksUpToDate>false</LinksUpToDate>
  <CharactersWithSpaces>0</CharactersWithSpaces>
  <Application>WPS Office 专业版_9.1.0.4940_F1E327BC-269C-435d-A152-05C5408002CA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2022-04-19T02:57:00Z</dcterms:created>
  <dc:creator>computer</dc:creator>
  <cp:lastModifiedBy>姚桂云</cp:lastModifiedBy>
  <dcterms:modified xsi:type="dcterms:W3CDTF">2022-10-27T02:48:45Z</dcterms:modified>
  <dc:title>汕头市地方标准《地理标志产品 达濠鱼丸》</dc:title>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2052-9.1.0.4940</vt:lpwstr>
  </property>
</Properties>
</file>